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ukcmdmx_lm5xh72j9k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2025 года № 384</w:t>
      </w:r>
    </w:p>
    <w:p>
      <w:pPr>
        <w:spacing w:after="120"/>
        <w:jc w:val="right"/>
      </w:pPr>
      <w:r>
        <w:rPr>
          <w:rFonts w:ascii="Arial" w:cs="Arial" w:eastAsia="Arial" w:hAnsi="Arial"/>
          <w:i/>
          <w:iCs/>
          <w:sz w:val="24"/>
          <w:szCs w:val="24"/>
        </w:rPr>
        <w:t xml:space="preserve">(к </w:t>
      </w:r>
      <w:hyperlink w:history="1" r:id="rIdy_odnxhwlrsvws2rii7ig">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административно-территориальной реформы на уровне айылных аймаков Тюпского района Иссык-Кульской области Кыргызской Республики в пилотном режиме на 2023-2024 годы</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Создание эффективной системы государственного управления является залогом успешного проведения реформ в политической, социальной и экономической сферах. Это предполагает формирование демократической и открытой системы управления, основанной на принципах разделения государственной власти, согласованного функционирования и взаимодействия с целью эффективного и справедливого решения вопросов общественного и частного характера.</w:t>
      </w:r>
    </w:p>
    <w:p>
      <w:pPr>
        <w:spacing w:after="60"/>
        <w:ind w:firstLine="567"/>
        <w:jc w:val="both"/>
      </w:pPr>
      <w:r>
        <w:rPr>
          <w:rFonts w:ascii="Arial" w:cs="Arial" w:eastAsia="Arial" w:hAnsi="Arial"/>
          <w:sz w:val="24"/>
          <w:szCs w:val="24"/>
        </w:rPr>
        <w:t xml:space="preserve">Достижение целей государственной политики и реализация местных инициатив по созданию благоприятной социальной и предпринимательской среды неразрывно связаны с организацией оптимальных механизмов взаимодействия и совершенствования деятельности всех институтов развития с учетом концепции использования ограниченных ресурсов с максимальной эффективностью и прозрачностью.</w:t>
      </w:r>
    </w:p>
    <w:p>
      <w:pPr>
        <w:spacing w:after="60"/>
        <w:ind w:firstLine="567"/>
        <w:jc w:val="both"/>
      </w:pPr>
      <w:r>
        <w:rPr>
          <w:rFonts w:ascii="Arial" w:cs="Arial" w:eastAsia="Arial" w:hAnsi="Arial"/>
          <w:sz w:val="24"/>
          <w:szCs w:val="24"/>
        </w:rPr>
        <w:t xml:space="preserve">Важнейшим условием, влияющим на успешное социально-экономическое развитие страны и определяющим его оптимальную территориальную организацию, является рациональное территориальное планирование и управление, которые предполагают сбалансированное развитие территорий через естественное развитие межотраслевых и межрегиональных связей.</w:t>
      </w:r>
    </w:p>
    <w:p>
      <w:pPr>
        <w:spacing w:after="60"/>
        <w:ind w:firstLine="567"/>
        <w:jc w:val="both"/>
      </w:pPr>
      <w:r>
        <w:rPr>
          <w:rFonts w:ascii="Arial" w:cs="Arial" w:eastAsia="Arial" w:hAnsi="Arial"/>
          <w:sz w:val="24"/>
          <w:szCs w:val="24"/>
        </w:rPr>
        <w:t xml:space="preserve">Современное административно-территориальное устройство республики основано на четырехуровневой системе управления: республика - область - район - органы местного самоуправления (город, село), которую образуют 7 областей, 40 районов, 32 города, 452 айылных аймака и более 1800 сел.</w:t>
      </w:r>
    </w:p>
    <w:p>
      <w:pPr>
        <w:spacing w:after="60"/>
        <w:ind w:firstLine="567"/>
        <w:jc w:val="both"/>
      </w:pPr>
      <w:r>
        <w:rPr>
          <w:rFonts w:ascii="Arial" w:cs="Arial" w:eastAsia="Arial" w:hAnsi="Arial"/>
          <w:sz w:val="24"/>
          <w:szCs w:val="24"/>
        </w:rPr>
        <w:t xml:space="preserve">Настоящая Концепция административно-территориальной реформы на уровне айылных аймаков Тюпского района Иссык-Кульской области Кыргызской Республики в пилотном режиме на 2023-2024 годы (далее - Концепция) разработана в целях реализации </w:t>
      </w:r>
      <w:hyperlink w:history="1" r:id="rIdobavrueiazyo5eocjk_ee">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r-bovurorbzxe5ozbzn_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в которой определены задачи по поэтапному проведению административно-территориальной реформы в стране. Выделены две основные задачи административно-территориальной реформы:</w:t>
      </w:r>
    </w:p>
    <w:p>
      <w:pPr>
        <w:spacing w:after="60"/>
        <w:ind w:firstLine="567"/>
        <w:jc w:val="both"/>
      </w:pPr>
      <w:r>
        <w:rPr>
          <w:rFonts w:ascii="Arial" w:cs="Arial" w:eastAsia="Arial" w:hAnsi="Arial"/>
          <w:sz w:val="24"/>
          <w:szCs w:val="24"/>
        </w:rPr>
        <w:t xml:space="preserve">- первая - административно-территориальное объединение айылных аймаков в укрупненные айылные аймаки;</w:t>
      </w:r>
    </w:p>
    <w:p>
      <w:pPr>
        <w:spacing w:after="60"/>
        <w:ind w:firstLine="567"/>
        <w:jc w:val="both"/>
      </w:pPr>
      <w:r>
        <w:rPr>
          <w:rFonts w:ascii="Arial" w:cs="Arial" w:eastAsia="Arial" w:hAnsi="Arial"/>
          <w:sz w:val="24"/>
          <w:szCs w:val="24"/>
        </w:rPr>
        <w:t xml:space="preserve">- вторая - наделение необходимыми полномочиями и ресурсами для эффективной реализации возложенных задач и функций по решению вопросов местного значения и делегированных государственных полномочий.</w:t>
      </w:r>
    </w:p>
    <w:p>
      <w:pPr>
        <w:spacing w:after="60"/>
        <w:ind w:firstLine="567"/>
        <w:jc w:val="both"/>
      </w:pPr>
      <w:r>
        <w:rPr>
          <w:rFonts w:ascii="Arial" w:cs="Arial" w:eastAsia="Arial" w:hAnsi="Arial"/>
          <w:sz w:val="24"/>
          <w:szCs w:val="24"/>
        </w:rPr>
        <w:t xml:space="preserve">Главная цель разработки Концепции - определение перспектив и возможных путей развития Тюпского района Иссык-Кульской области (далее - Тюпский район), улучшение социально-экономической ситуации на основе рационального использования природно-ресурсного и социально-экономического потенциала в результате осуществления позитивных структурных изменений в экономике и рост благосостояния населения.</w:t>
      </w:r>
    </w:p>
    <w:p>
      <w:pPr>
        <w:spacing w:after="200" w:before="200"/>
        <w:jc w:val="center"/>
      </w:pPr>
      <w:r>
        <w:rPr>
          <w:rFonts w:ascii="Arial" w:cs="Arial" w:eastAsia="Arial" w:hAnsi="Arial"/>
          <w:b/>
          <w:bCs/>
          <w:sz w:val="32"/>
          <w:szCs w:val="32"/>
        </w:rPr>
        <w:t xml:space="preserve">1. Общая характеристика Тюпского района</w:t>
      </w:r>
    </w:p>
    <w:p>
      <w:pPr>
        <w:spacing w:after="60" w:before="200"/>
        <w:ind w:firstLine="567"/>
        <w:jc w:val="both"/>
      </w:pPr>
      <w:r>
        <w:rPr>
          <w:rFonts w:ascii="Arial" w:cs="Arial" w:eastAsia="Arial" w:hAnsi="Arial"/>
          <w:b/>
          <w:bCs/>
          <w:sz w:val="24"/>
          <w:szCs w:val="24"/>
        </w:rPr>
        <w:t xml:space="preserve">Географическое расположение</w:t>
      </w:r>
    </w:p>
    <w:p>
      <w:pPr>
        <w:spacing w:after="60"/>
        <w:ind w:firstLine="567"/>
        <w:jc w:val="both"/>
      </w:pPr>
      <w:r>
        <w:rPr>
          <w:rFonts w:ascii="Arial" w:cs="Arial" w:eastAsia="Arial" w:hAnsi="Arial"/>
          <w:sz w:val="24"/>
          <w:szCs w:val="24"/>
        </w:rPr>
        <w:t xml:space="preserve">Тюпский район образован 8 февраля 1935 года. Территория района расположена между хребтом Кунгей Ала-Too и акваторией озера Иссык-Куль. Рельеф района отличается разнообразием, в его пределах наблюдаются сложноскладчатые средневысокие горы с эрозионным расчленением, аллювиально-пролювиальные равнины с конусами выноса рек и приозерные равнины в береговой зоне озера Иссык-Куль. Район расположен на высоте от 1620 м над уровнем моря.</w:t>
      </w:r>
    </w:p>
    <w:p>
      <w:pPr>
        <w:spacing w:after="60"/>
        <w:ind w:firstLine="567"/>
        <w:jc w:val="both"/>
      </w:pPr>
      <w:r>
        <w:rPr>
          <w:rFonts w:ascii="Arial" w:cs="Arial" w:eastAsia="Arial" w:hAnsi="Arial"/>
          <w:sz w:val="24"/>
          <w:szCs w:val="24"/>
        </w:rPr>
        <w:t xml:space="preserve">Тюпский район входит в состав Иссык-Кульской области и занимает северо-восточную часть Иссык-Кульской области. На юго-западе территория района граничит с озером Иссык-Куль, на юго-востоке - с Ак-Суйским районом, на западе - с Иссык-Кульским районом, на севере - с Республикой Казахстан.</w:t>
      </w:r>
    </w:p>
    <w:p>
      <w:pPr>
        <w:spacing w:after="60"/>
        <w:ind w:firstLine="567"/>
        <w:jc w:val="both"/>
      </w:pPr>
      <w:r>
        <w:rPr>
          <w:rFonts w:ascii="Arial" w:cs="Arial" w:eastAsia="Arial" w:hAnsi="Arial"/>
          <w:sz w:val="24"/>
          <w:szCs w:val="24"/>
        </w:rPr>
        <w:t xml:space="preserve">Гидрография района представлена рекой Тюп, которая берет свое начало из ледников северного склона хребта Тескей Ала-Too, и ее притоками. Общая длина реки составляет 135 км. Максимум паводка приходится на июль и достигает 100 м</w:t>
      </w:r>
      <w:r>
        <w:rPr>
          <w:rFonts w:ascii="Arial" w:cs="Arial" w:eastAsia="Arial" w:hAnsi="Arial"/>
          <w:sz w:val="24"/>
          <w:szCs w:val="24"/>
        </w:rPr>
        <w:t xml:space="preserve">3</w:t>
      </w:r>
      <w:r>
        <w:rPr>
          <w:rFonts w:ascii="Arial" w:cs="Arial" w:eastAsia="Arial" w:hAnsi="Arial"/>
          <w:sz w:val="24"/>
          <w:szCs w:val="24"/>
        </w:rPr>
        <w:t xml:space="preserve">/сек.</w:t>
      </w:r>
    </w:p>
    <w:p>
      <w:pPr>
        <w:spacing w:after="60"/>
        <w:ind w:firstLine="567"/>
        <w:jc w:val="both"/>
      </w:pPr>
      <w:r>
        <w:rPr>
          <w:rFonts w:ascii="Arial" w:cs="Arial" w:eastAsia="Arial" w:hAnsi="Arial"/>
          <w:sz w:val="24"/>
          <w:szCs w:val="24"/>
        </w:rPr>
        <w:t xml:space="preserve">Расстояние до областного центра - 25 км, расстояние до центра республики - 367 км.</w:t>
      </w:r>
    </w:p>
    <w:p>
      <w:pPr>
        <w:spacing w:after="60"/>
        <w:ind w:firstLine="567"/>
        <w:jc w:val="both"/>
      </w:pPr>
      <w:r>
        <w:rPr>
          <w:rFonts w:ascii="Arial" w:cs="Arial" w:eastAsia="Arial" w:hAnsi="Arial"/>
          <w:sz w:val="24"/>
          <w:szCs w:val="24"/>
        </w:rPr>
        <w:t xml:space="preserve">Расстояние до ближайшей железнодорожной станции - 187 км, до ближайшего аэропорта - 28 км.</w:t>
      </w:r>
    </w:p>
    <w:p>
      <w:pPr>
        <w:spacing w:after="60"/>
        <w:ind w:firstLine="567"/>
        <w:jc w:val="both"/>
      </w:pPr>
      <w:r>
        <w:rPr>
          <w:rFonts w:ascii="Arial" w:cs="Arial" w:eastAsia="Arial" w:hAnsi="Arial"/>
          <w:sz w:val="24"/>
          <w:szCs w:val="24"/>
        </w:rPr>
        <w:t xml:space="preserve">Территория Тюпского района составляет 2121 км</w:t>
      </w:r>
      <w:r>
        <w:rPr>
          <w:rFonts w:ascii="Arial" w:cs="Arial" w:eastAsia="Arial" w:hAnsi="Arial"/>
          <w:sz w:val="24"/>
          <w:szCs w:val="24"/>
        </w:rPr>
        <w:t xml:space="preserve">2</w:t>
      </w:r>
      <w:r>
        <w:rPr>
          <w:rFonts w:ascii="Arial" w:cs="Arial" w:eastAsia="Arial" w:hAnsi="Arial"/>
          <w:sz w:val="24"/>
          <w:szCs w:val="24"/>
        </w:rPr>
        <w:t xml:space="preserve">. Постоянно проживающее население - 65483 человека и 13894 двора.</w:t>
      </w:r>
    </w:p>
    <w:p>
      <w:pPr>
        <w:spacing w:after="60" w:before="200"/>
        <w:ind w:firstLine="567"/>
        <w:jc w:val="both"/>
      </w:pPr>
      <w:r>
        <w:rPr>
          <w:rFonts w:ascii="Arial" w:cs="Arial" w:eastAsia="Arial" w:hAnsi="Arial"/>
          <w:b/>
          <w:bCs/>
          <w:sz w:val="24"/>
          <w:szCs w:val="24"/>
        </w:rPr>
        <w:t xml:space="preserve">Существующая административная структура района</w:t>
      </w:r>
    </w:p>
    <w:p>
      <w:pPr>
        <w:spacing w:after="60"/>
        <w:ind w:firstLine="567"/>
        <w:jc w:val="both"/>
      </w:pPr>
      <w:r>
        <w:rPr>
          <w:rFonts w:ascii="Arial" w:cs="Arial" w:eastAsia="Arial" w:hAnsi="Arial"/>
          <w:sz w:val="24"/>
          <w:szCs w:val="24"/>
        </w:rPr>
        <w:t xml:space="preserve">В настоящее время Тюпский район состоит из 13 айылных аймаков и 37 сел с административным центром в селе Тюп:</w:t>
      </w:r>
    </w:p>
    <w:p>
      <w:pPr>
        <w:spacing w:after="60"/>
        <w:ind w:firstLine="567"/>
        <w:jc w:val="both"/>
      </w:pPr>
      <w:r>
        <w:rPr>
          <w:rFonts w:ascii="Arial" w:cs="Arial" w:eastAsia="Arial" w:hAnsi="Arial"/>
          <w:sz w:val="24"/>
          <w:szCs w:val="24"/>
        </w:rPr>
        <w:t xml:space="preserve">1) Кудургу (с.Кичи-Орукту, с.Ой-Тал, с.Ой-Булак, с.Кудургу);</w:t>
      </w:r>
    </w:p>
    <w:p>
      <w:pPr>
        <w:spacing w:after="60"/>
        <w:ind w:firstLine="567"/>
        <w:jc w:val="both"/>
      </w:pPr>
      <w:r>
        <w:rPr>
          <w:rFonts w:ascii="Arial" w:cs="Arial" w:eastAsia="Arial" w:hAnsi="Arial"/>
          <w:sz w:val="24"/>
          <w:szCs w:val="24"/>
        </w:rPr>
        <w:t xml:space="preserve">2) Ак-Булун (с.Фрунзе, с.Ак-Булун, с.Беловодск);</w:t>
      </w:r>
    </w:p>
    <w:p>
      <w:pPr>
        <w:spacing w:after="60"/>
        <w:ind w:firstLine="567"/>
        <w:jc w:val="both"/>
      </w:pPr>
      <w:r>
        <w:rPr>
          <w:rFonts w:ascii="Arial" w:cs="Arial" w:eastAsia="Arial" w:hAnsi="Arial"/>
          <w:sz w:val="24"/>
          <w:szCs w:val="24"/>
        </w:rPr>
        <w:t xml:space="preserve">3) Ак-Булак (с.Ак-Булак);</w:t>
      </w:r>
    </w:p>
    <w:p>
      <w:pPr>
        <w:spacing w:after="60"/>
        <w:ind w:firstLine="567"/>
        <w:jc w:val="both"/>
      </w:pPr>
      <w:r>
        <w:rPr>
          <w:rFonts w:ascii="Arial" w:cs="Arial" w:eastAsia="Arial" w:hAnsi="Arial"/>
          <w:sz w:val="24"/>
          <w:szCs w:val="24"/>
        </w:rPr>
        <w:t xml:space="preserve">4) Сары-Булак (с.Курмонту, с.Балбай);</w:t>
      </w:r>
    </w:p>
    <w:p>
      <w:pPr>
        <w:spacing w:after="60"/>
        <w:ind w:firstLine="567"/>
        <w:jc w:val="both"/>
      </w:pPr>
      <w:r>
        <w:rPr>
          <w:rFonts w:ascii="Arial" w:cs="Arial" w:eastAsia="Arial" w:hAnsi="Arial"/>
          <w:sz w:val="24"/>
          <w:szCs w:val="24"/>
        </w:rPr>
        <w:t xml:space="preserve">5) Тюп (с.Тюп, с.Шаты, с.Бирлик);</w:t>
      </w:r>
    </w:p>
    <w:p>
      <w:pPr>
        <w:spacing w:after="60"/>
        <w:ind w:firstLine="567"/>
        <w:jc w:val="both"/>
      </w:pPr>
      <w:r>
        <w:rPr>
          <w:rFonts w:ascii="Arial" w:cs="Arial" w:eastAsia="Arial" w:hAnsi="Arial"/>
          <w:sz w:val="24"/>
          <w:szCs w:val="24"/>
        </w:rPr>
        <w:t xml:space="preserve">6) Талды-Суу (с.Талды-Суу, с.Ичке-Суу, с.Корумду, с.Коочу);</w:t>
      </w:r>
    </w:p>
    <w:p>
      <w:pPr>
        <w:spacing w:after="60"/>
        <w:ind w:firstLine="567"/>
        <w:jc w:val="both"/>
      </w:pPr>
      <w:r>
        <w:rPr>
          <w:rFonts w:ascii="Arial" w:cs="Arial" w:eastAsia="Arial" w:hAnsi="Arial"/>
          <w:sz w:val="24"/>
          <w:szCs w:val="24"/>
        </w:rPr>
        <w:t xml:space="preserve">7) Чон-Таш (с.Чон-Таш, с.Жылуу-Булак);</w:t>
      </w:r>
    </w:p>
    <w:p>
      <w:pPr>
        <w:spacing w:after="60"/>
        <w:ind w:firstLine="567"/>
        <w:jc w:val="both"/>
      </w:pPr>
      <w:r>
        <w:rPr>
          <w:rFonts w:ascii="Arial" w:cs="Arial" w:eastAsia="Arial" w:hAnsi="Arial"/>
          <w:sz w:val="24"/>
          <w:szCs w:val="24"/>
        </w:rPr>
        <w:t xml:space="preserve">8) Санташ (с.Байзак, с.Кен-Суу, с.Сары-Тологой, с.Санташ, с.Каркыра);</w:t>
      </w:r>
    </w:p>
    <w:p>
      <w:pPr>
        <w:spacing w:after="60"/>
        <w:ind w:firstLine="567"/>
        <w:jc w:val="both"/>
      </w:pPr>
      <w:r>
        <w:rPr>
          <w:rFonts w:ascii="Arial" w:cs="Arial" w:eastAsia="Arial" w:hAnsi="Arial"/>
          <w:sz w:val="24"/>
          <w:szCs w:val="24"/>
        </w:rPr>
        <w:t xml:space="preserve">9) Карасаев (с.Тасма, с.Чон-Тогузбай, с.Токтоян);</w:t>
      </w:r>
    </w:p>
    <w:p>
      <w:pPr>
        <w:spacing w:after="60"/>
        <w:ind w:firstLine="567"/>
        <w:jc w:val="both"/>
      </w:pPr>
      <w:r>
        <w:rPr>
          <w:rFonts w:ascii="Arial" w:cs="Arial" w:eastAsia="Arial" w:hAnsi="Arial"/>
          <w:sz w:val="24"/>
          <w:szCs w:val="24"/>
        </w:rPr>
        <w:t xml:space="preserve">10) Арал (с.Арал, с.Мин-Булак, с.Долон, с.Кош-Добо, с.Сары-Добо);</w:t>
      </w:r>
    </w:p>
    <w:p>
      <w:pPr>
        <w:spacing w:after="60"/>
        <w:ind w:firstLine="567"/>
        <w:jc w:val="both"/>
      </w:pPr>
      <w:r>
        <w:rPr>
          <w:rFonts w:ascii="Arial" w:cs="Arial" w:eastAsia="Arial" w:hAnsi="Arial"/>
          <w:sz w:val="24"/>
          <w:szCs w:val="24"/>
        </w:rPr>
        <w:t xml:space="preserve">11) Михайловка (с.Михайловка);</w:t>
      </w:r>
    </w:p>
    <w:p>
      <w:pPr>
        <w:spacing w:after="60"/>
        <w:ind w:firstLine="567"/>
        <w:jc w:val="both"/>
      </w:pPr>
      <w:r>
        <w:rPr>
          <w:rFonts w:ascii="Arial" w:cs="Arial" w:eastAsia="Arial" w:hAnsi="Arial"/>
          <w:sz w:val="24"/>
          <w:szCs w:val="24"/>
        </w:rPr>
        <w:t xml:space="preserve">12) Иссык-Куль (с.Иссык-Куль, с.Ынтымак);</w:t>
      </w:r>
    </w:p>
    <w:p>
      <w:pPr>
        <w:spacing w:after="60"/>
        <w:ind w:firstLine="567"/>
        <w:jc w:val="both"/>
      </w:pPr>
      <w:r>
        <w:rPr>
          <w:rFonts w:ascii="Arial" w:cs="Arial" w:eastAsia="Arial" w:hAnsi="Arial"/>
          <w:sz w:val="24"/>
          <w:szCs w:val="24"/>
        </w:rPr>
        <w:t xml:space="preserve">13) Тогуз-Булак (с.Тогуз-Булак, с.Сары-Булун).</w:t>
      </w:r>
    </w:p>
    <w:p>
      <w:pPr>
        <w:spacing w:after="60"/>
        <w:ind w:firstLine="567"/>
        <w:jc w:val="both"/>
      </w:pPr>
      <w:r>
        <w:rPr>
          <w:rFonts w:ascii="Arial" w:cs="Arial" w:eastAsia="Arial" w:hAnsi="Arial"/>
          <w:sz w:val="24"/>
          <w:szCs w:val="24"/>
        </w:rPr>
        <w:t xml:space="preserve">Штатная численность 13 айыл окмоту - 171 муниципальный служащий и 27 работников технического и младшего обслуживающего персонала с общим совокупным фондом заработной платы 37,6 млн. сомов.</w:t>
      </w:r>
    </w:p>
    <w:p>
      <w:pPr>
        <w:spacing w:after="60"/>
        <w:ind w:firstLine="567"/>
        <w:jc w:val="both"/>
      </w:pPr>
      <w:r>
        <w:rPr>
          <w:rFonts w:ascii="Arial" w:cs="Arial" w:eastAsia="Arial" w:hAnsi="Arial"/>
          <w:sz w:val="24"/>
          <w:szCs w:val="24"/>
        </w:rPr>
        <w:t xml:space="preserve">Аппарат местной государственной администрации Тюпского района состоит из 14 штатных единиц.</w:t>
      </w:r>
    </w:p>
    <w:p>
      <w:pPr>
        <w:spacing w:after="60" w:before="200"/>
        <w:ind w:firstLine="567"/>
        <w:jc w:val="both"/>
      </w:pPr>
      <w:r>
        <w:rPr>
          <w:rFonts w:ascii="Arial" w:cs="Arial" w:eastAsia="Arial" w:hAnsi="Arial"/>
          <w:b/>
          <w:bCs/>
          <w:sz w:val="24"/>
          <w:szCs w:val="24"/>
        </w:rPr>
        <w:t xml:space="preserve">Социально-экономическое положение</w:t>
      </w:r>
    </w:p>
    <w:p>
      <w:pPr>
        <w:spacing w:after="60"/>
        <w:ind w:firstLine="567"/>
        <w:jc w:val="both"/>
      </w:pPr>
      <w:r>
        <w:rPr>
          <w:rFonts w:ascii="Arial" w:cs="Arial" w:eastAsia="Arial" w:hAnsi="Arial"/>
          <w:sz w:val="24"/>
          <w:szCs w:val="24"/>
        </w:rPr>
        <w:t xml:space="preserve">В 2021 году основные макроэкономические показатели по сравнению с 2020 годом сложились следующим образом:</w:t>
      </w:r>
    </w:p>
    <w:p>
      <w:pPr>
        <w:spacing w:after="60"/>
        <w:ind w:firstLine="567"/>
        <w:jc w:val="both"/>
      </w:pPr>
      <w:r>
        <w:rPr>
          <w:rFonts w:ascii="Arial" w:cs="Arial" w:eastAsia="Arial" w:hAnsi="Arial"/>
          <w:sz w:val="24"/>
          <w:szCs w:val="24"/>
        </w:rPr>
        <w:t xml:space="preserve">- объем промышленной продукции составил 413,5 млн. сомов или снизился на 13,7%;</w:t>
      </w:r>
    </w:p>
    <w:p>
      <w:pPr>
        <w:spacing w:after="60"/>
        <w:ind w:firstLine="567"/>
        <w:jc w:val="both"/>
      </w:pPr>
      <w:r>
        <w:rPr>
          <w:rFonts w:ascii="Arial" w:cs="Arial" w:eastAsia="Arial" w:hAnsi="Arial"/>
          <w:sz w:val="24"/>
          <w:szCs w:val="24"/>
        </w:rPr>
        <w:t xml:space="preserve">- производство скота и птицы на убой составило 9588,4 т или увеличилось на 2,0%, молока - 53159,4 т или увеличилось на 1,0%, яиц - 7590,0 тыс. штук или увеличилось на 1,2%, шерсти - 333,4 т или увеличилось на 0,5%;</w:t>
      </w:r>
    </w:p>
    <w:p>
      <w:pPr>
        <w:spacing w:after="60"/>
        <w:ind w:firstLine="567"/>
        <w:jc w:val="both"/>
      </w:pPr>
      <w:r>
        <w:rPr>
          <w:rFonts w:ascii="Arial" w:cs="Arial" w:eastAsia="Arial" w:hAnsi="Arial"/>
          <w:sz w:val="24"/>
          <w:szCs w:val="24"/>
        </w:rPr>
        <w:t xml:space="preserve">- оборот розничной торговли, включая оборот предприятий питания по всем каналам реализации, составил 698,8 млн. сомов или увеличился на 21,7%;</w:t>
      </w:r>
    </w:p>
    <w:p>
      <w:pPr>
        <w:spacing w:after="60"/>
        <w:ind w:firstLine="567"/>
        <w:jc w:val="both"/>
      </w:pPr>
      <w:r>
        <w:rPr>
          <w:rFonts w:ascii="Arial" w:cs="Arial" w:eastAsia="Arial" w:hAnsi="Arial"/>
          <w:sz w:val="24"/>
          <w:szCs w:val="24"/>
        </w:rPr>
        <w:t xml:space="preserve">- объем оказанных рыночных услуг составил 265,2 млн. сомов или увеличился на 0,2%;</w:t>
      </w:r>
    </w:p>
    <w:p>
      <w:pPr>
        <w:spacing w:after="60"/>
        <w:ind w:firstLine="567"/>
        <w:jc w:val="both"/>
      </w:pPr>
      <w:r>
        <w:rPr>
          <w:rFonts w:ascii="Arial" w:cs="Arial" w:eastAsia="Arial" w:hAnsi="Arial"/>
          <w:sz w:val="24"/>
          <w:szCs w:val="24"/>
        </w:rPr>
        <w:t xml:space="preserve">- объем инвестиций в основной капитал составил 313,8 млн. сомов или увеличился на 26%;</w:t>
      </w:r>
    </w:p>
    <w:p>
      <w:pPr>
        <w:spacing w:after="60"/>
        <w:ind w:firstLine="567"/>
        <w:jc w:val="both"/>
      </w:pPr>
      <w:r>
        <w:rPr>
          <w:rFonts w:ascii="Arial" w:cs="Arial" w:eastAsia="Arial" w:hAnsi="Arial"/>
          <w:sz w:val="24"/>
          <w:szCs w:val="24"/>
        </w:rPr>
        <w:t xml:space="preserve">- экспортные поставки составили 223,4 тыс. долл. США или снизились на 7,1%;</w:t>
      </w:r>
    </w:p>
    <w:p>
      <w:pPr>
        <w:spacing w:after="60"/>
        <w:ind w:firstLine="567"/>
        <w:jc w:val="both"/>
      </w:pPr>
      <w:r>
        <w:rPr>
          <w:rFonts w:ascii="Arial" w:cs="Arial" w:eastAsia="Arial" w:hAnsi="Arial"/>
          <w:sz w:val="24"/>
          <w:szCs w:val="24"/>
        </w:rPr>
        <w:t xml:space="preserve">- импортные поставки составили 780,0 тыс. долл. США или выросли в 2,3 раза;</w:t>
      </w:r>
    </w:p>
    <w:p>
      <w:pPr>
        <w:spacing w:after="60"/>
        <w:ind w:firstLine="567"/>
        <w:jc w:val="both"/>
      </w:pPr>
      <w:r>
        <w:rPr>
          <w:rFonts w:ascii="Arial" w:cs="Arial" w:eastAsia="Arial" w:hAnsi="Arial"/>
          <w:sz w:val="24"/>
          <w:szCs w:val="24"/>
        </w:rPr>
        <w:t xml:space="preserve">- среднемесячная заработная плата составила 13548 сомов или увеличилась на 4,5%;</w:t>
      </w:r>
    </w:p>
    <w:p>
      <w:pPr>
        <w:spacing w:after="60"/>
        <w:ind w:firstLine="567"/>
        <w:jc w:val="both"/>
      </w:pPr>
      <w:r>
        <w:rPr>
          <w:rFonts w:ascii="Arial" w:cs="Arial" w:eastAsia="Arial" w:hAnsi="Arial"/>
          <w:sz w:val="24"/>
          <w:szCs w:val="24"/>
        </w:rPr>
        <w:t xml:space="preserve">- численность зарегистрированных безработных составила 367 человек или снизилась на 16,3%.</w:t>
      </w:r>
    </w:p>
    <w:p>
      <w:pPr>
        <w:spacing w:after="60"/>
        <w:ind w:firstLine="567"/>
        <w:jc w:val="both"/>
      </w:pPr>
      <w:r>
        <w:rPr>
          <w:rFonts w:ascii="Arial" w:cs="Arial" w:eastAsia="Arial" w:hAnsi="Arial"/>
          <w:sz w:val="24"/>
          <w:szCs w:val="24"/>
        </w:rPr>
        <w:t xml:space="preserve">Основная доля продукции промышленности района образуется за счет обрабатывающей промышленности, где объем продукции составил 400,1 млн. сомов или 96,8% от общей доли объема промышленной продукции.</w:t>
      </w:r>
    </w:p>
    <w:p>
      <w:pPr>
        <w:spacing w:after="60"/>
        <w:ind w:firstLine="567"/>
        <w:jc w:val="both"/>
      </w:pPr>
      <w:r>
        <w:rPr>
          <w:rFonts w:ascii="Arial" w:cs="Arial" w:eastAsia="Arial" w:hAnsi="Arial"/>
          <w:sz w:val="24"/>
          <w:szCs w:val="24"/>
        </w:rPr>
        <w:t xml:space="preserve">Производственный комплекс Тюпского района образуется за счет деятельности таких предприятий, как закрытое акционерное общество "С</w:t>
      </w:r>
      <w:r>
        <w:rPr>
          <w:rFonts w:ascii="Arial" w:cs="Arial" w:eastAsia="Arial" w:hAnsi="Arial"/>
          <w:sz w:val="24"/>
          <w:szCs w:val="24"/>
        </w:rPr>
        <w:t xml:space="preserve">у</w:t>
      </w:r>
      <w:r>
        <w:rPr>
          <w:rFonts w:ascii="Arial" w:cs="Arial" w:eastAsia="Arial" w:hAnsi="Arial"/>
          <w:sz w:val="24"/>
          <w:szCs w:val="24"/>
        </w:rPr>
        <w:t xml:space="preserve">т Булак", общества с ограниченной ответственностью "Курменты-Транс-Сервис", "Ак-Таш", "Экопродукт", "Салкын", средние и малые предприятия. Из них стабильно работают 5 предприятий, сезонно работают 2 предприятия. На территории района отсутствуют простаивающие предприятия.</w:t>
      </w:r>
    </w:p>
    <w:p>
      <w:pPr>
        <w:spacing w:after="60"/>
        <w:ind w:firstLine="567"/>
        <w:jc w:val="both"/>
      </w:pPr>
      <w:r>
        <w:rPr>
          <w:rFonts w:ascii="Arial" w:cs="Arial" w:eastAsia="Arial" w:hAnsi="Arial"/>
          <w:sz w:val="24"/>
          <w:szCs w:val="24"/>
        </w:rPr>
        <w:t xml:space="preserve">В 2021 году валовый сбор пшеницы составил 23,5 тыс. тонн или 49,1% по сравнению с 2020 годом, валовый сбор ячменя составил 19,4 тыс. тонн или 62,3%. Наряду с этим производство картофеля по сравнению с 2020 годом увеличилось на 6,6%, овощей - на 2,0%.</w:t>
      </w:r>
    </w:p>
    <w:p>
      <w:pPr>
        <w:spacing w:after="60"/>
        <w:ind w:firstLine="567"/>
        <w:jc w:val="both"/>
      </w:pPr>
      <w:r>
        <w:rPr>
          <w:rFonts w:ascii="Arial" w:cs="Arial" w:eastAsia="Arial" w:hAnsi="Arial"/>
          <w:sz w:val="24"/>
          <w:szCs w:val="24"/>
        </w:rPr>
        <w:t xml:space="preserve">В 2022 году совокупная сумма утвержденных местных бюджетов айылных аймаков Тюпского района составила 103,6 млн. сомов, наибольшая сумма местного бюджета в Тюпском айылном аймаке - 34,2 млн. сомов и Талды-Суйском айылном аймаке - 11,4 млн. сомов.</w:t>
      </w:r>
    </w:p>
    <w:p>
      <w:pPr>
        <w:spacing w:after="60"/>
        <w:ind w:firstLine="567"/>
        <w:jc w:val="both"/>
      </w:pPr>
      <w:r>
        <w:rPr>
          <w:rFonts w:ascii="Arial" w:cs="Arial" w:eastAsia="Arial" w:hAnsi="Arial"/>
          <w:sz w:val="24"/>
          <w:szCs w:val="24"/>
        </w:rPr>
        <w:t xml:space="preserve">В 2022 году, по данным Министерства финансов Кыргызской Республики, в Тюпском районе самодостаточным является лишь Тюпский айылный аймак. В 2022 году совокупная сумма выравнивающих грантов составила 16,1 млн. сомов, что на 10 млн. сомов меньше чем за тот же период 2021 года.</w:t>
      </w:r>
    </w:p>
    <w:p>
      <w:pPr>
        <w:spacing w:after="200" w:before="200"/>
        <w:jc w:val="center"/>
      </w:pPr>
      <w:r>
        <w:rPr>
          <w:rFonts w:ascii="Arial" w:cs="Arial" w:eastAsia="Arial" w:hAnsi="Arial"/>
          <w:b/>
          <w:bCs/>
          <w:sz w:val="32"/>
          <w:szCs w:val="32"/>
        </w:rPr>
        <w:t xml:space="preserve">II. Проблемы развития территорий</w:t>
      </w:r>
    </w:p>
    <w:p>
      <w:pPr>
        <w:spacing w:after="60"/>
        <w:ind w:firstLine="567"/>
        <w:jc w:val="both"/>
      </w:pPr>
      <w:r>
        <w:rPr>
          <w:rFonts w:ascii="Arial" w:cs="Arial" w:eastAsia="Arial" w:hAnsi="Arial"/>
          <w:sz w:val="24"/>
          <w:szCs w:val="24"/>
        </w:rPr>
        <w:t xml:space="preserve">Обеспечение социально-экономического развития регионов на современном этапе зависит во многом от четко выстроенной организации государственного и муниципального управления, выработки оптимальной системы взаимодействия органов государственной власти с органами местного самоуправления.</w:t>
      </w:r>
    </w:p>
    <w:p>
      <w:pPr>
        <w:spacing w:after="60"/>
        <w:ind w:firstLine="567"/>
        <w:jc w:val="both"/>
      </w:pPr>
      <w:r>
        <w:rPr>
          <w:rFonts w:ascii="Arial" w:cs="Arial" w:eastAsia="Arial" w:hAnsi="Arial"/>
          <w:sz w:val="24"/>
          <w:szCs w:val="24"/>
        </w:rPr>
        <w:t xml:space="preserve">Определяющим фактором успешного социально-экономического развития являются эффективное формирование доходной части местных бюджетов и рациональный подход к расходованию бюджетных средств. При формировании доходов необходимо учитывать не только общий объем запланированных доходов, но и доходы, образуемые на основе современного и компетентного управления территориальной собственностью, рационального использования труда путем внедрения новых методов менеджмента, техники и технологий, и иных механизмов получения доходов на местах.</w:t>
      </w:r>
    </w:p>
    <w:p>
      <w:pPr>
        <w:spacing w:after="60"/>
        <w:ind w:firstLine="567"/>
        <w:jc w:val="both"/>
      </w:pPr>
      <w:r>
        <w:rPr>
          <w:rFonts w:ascii="Arial" w:cs="Arial" w:eastAsia="Arial" w:hAnsi="Arial"/>
          <w:sz w:val="24"/>
          <w:szCs w:val="24"/>
        </w:rPr>
        <w:t xml:space="preserve">Необходимо отметить и такой фактор, как организационная схема руководящей структуры на территории, которая напрямую влияет на деятельность и дальнейшее получение доходов территорий и выполнение конкретных задач для достижения целей развития.</w:t>
      </w:r>
    </w:p>
    <w:p>
      <w:pPr>
        <w:spacing w:after="60"/>
        <w:ind w:firstLine="567"/>
        <w:jc w:val="both"/>
      </w:pPr>
      <w:r>
        <w:rPr>
          <w:rFonts w:ascii="Arial" w:cs="Arial" w:eastAsia="Arial" w:hAnsi="Arial"/>
          <w:sz w:val="24"/>
          <w:szCs w:val="24"/>
        </w:rPr>
        <w:t xml:space="preserve">Практика показывает отсутствие у глав исполнительной власти большинства айылных аймаков обоснованных ориентиров и решений в планировании деятельности, что отрицательно влияет на дальнейшее развитие территорий.</w:t>
      </w:r>
    </w:p>
    <w:p>
      <w:pPr>
        <w:spacing w:after="60"/>
        <w:ind w:firstLine="567"/>
        <w:jc w:val="both"/>
      </w:pPr>
      <w:r>
        <w:rPr>
          <w:rFonts w:ascii="Arial" w:cs="Arial" w:eastAsia="Arial" w:hAnsi="Arial"/>
          <w:sz w:val="24"/>
          <w:szCs w:val="24"/>
        </w:rPr>
        <w:t xml:space="preserve">Доказательством тому является, что в большинстве случаев программы социально-экономического развития регионов отсутствуют или отличаются следующими недостатками:</w:t>
      </w:r>
    </w:p>
    <w:p>
      <w:pPr>
        <w:spacing w:after="60"/>
        <w:ind w:firstLine="567"/>
        <w:jc w:val="both"/>
      </w:pPr>
      <w:r>
        <w:rPr>
          <w:rFonts w:ascii="Arial" w:cs="Arial" w:eastAsia="Arial" w:hAnsi="Arial"/>
          <w:sz w:val="24"/>
          <w:szCs w:val="24"/>
        </w:rPr>
        <w:t xml:space="preserve">- в силу слабого кадрового потенциала органов местного самоуправления и отсутствия квалифицированных специалистов качество разработанных программ социально-экономического развития остается на низком уровне;</w:t>
      </w:r>
    </w:p>
    <w:p>
      <w:pPr>
        <w:spacing w:after="60"/>
        <w:ind w:firstLine="567"/>
        <w:jc w:val="both"/>
      </w:pPr>
      <w:r>
        <w:rPr>
          <w:rFonts w:ascii="Arial" w:cs="Arial" w:eastAsia="Arial" w:hAnsi="Arial"/>
          <w:sz w:val="24"/>
          <w:szCs w:val="24"/>
        </w:rPr>
        <w:t xml:space="preserve">- декларативный статус программ социально-экономического развития, даже в случае разработки программ социально-экономического развития привлеченными экспертами, реализация программ социально-экономического развития на должном уровне не осуществляется;</w:t>
      </w:r>
    </w:p>
    <w:p>
      <w:pPr>
        <w:spacing w:after="60"/>
        <w:ind w:firstLine="567"/>
        <w:jc w:val="both"/>
      </w:pPr>
      <w:r>
        <w:rPr>
          <w:rFonts w:ascii="Arial" w:cs="Arial" w:eastAsia="Arial" w:hAnsi="Arial"/>
          <w:sz w:val="24"/>
          <w:szCs w:val="24"/>
        </w:rPr>
        <w:t xml:space="preserve">- за неисполнение задач и мер, предусмотренных в программах социально-экономического развития, главы исполнительных органов айылных аймаков не несут конкретной ответственности;</w:t>
      </w:r>
    </w:p>
    <w:p>
      <w:pPr>
        <w:spacing w:after="60"/>
        <w:ind w:firstLine="567"/>
        <w:jc w:val="both"/>
      </w:pPr>
      <w:r>
        <w:rPr>
          <w:rFonts w:ascii="Arial" w:cs="Arial" w:eastAsia="Arial" w:hAnsi="Arial"/>
          <w:sz w:val="24"/>
          <w:szCs w:val="24"/>
        </w:rPr>
        <w:t xml:space="preserve">- отсутствие знаний, опыта и механизмов для привлечения и реализации инвестиционных проектов.</w:t>
      </w:r>
    </w:p>
    <w:p>
      <w:pPr>
        <w:spacing w:after="60"/>
        <w:ind w:firstLine="567"/>
        <w:jc w:val="both"/>
      </w:pPr>
      <w:r>
        <w:rPr>
          <w:rFonts w:ascii="Arial" w:cs="Arial" w:eastAsia="Arial" w:hAnsi="Arial"/>
          <w:sz w:val="24"/>
          <w:szCs w:val="24"/>
        </w:rPr>
        <w:t xml:space="preserve">Таким образом, главной проблемой является то, что исполнительные органы айылных аймаков на сегодняшний день не имеют возможности для самостоятельного ведения деятельности по планированию развития на местах. В связи с чем остро стоит вопрос о повышении эффективности управленческой системы, то есть целенаправленное построение управленческой системы непосредственно влияет на реализацию экономических возможностей всех уровней управления.</w:t>
      </w:r>
    </w:p>
    <w:p>
      <w:pPr>
        <w:spacing w:after="200" w:before="200"/>
        <w:jc w:val="center"/>
      </w:pPr>
      <w:r>
        <w:rPr>
          <w:rFonts w:ascii="Arial" w:cs="Arial" w:eastAsia="Arial" w:hAnsi="Arial"/>
          <w:b/>
          <w:bCs/>
          <w:sz w:val="32"/>
          <w:szCs w:val="32"/>
        </w:rPr>
        <w:t xml:space="preserve">II. Цель и задачи</w:t>
      </w:r>
    </w:p>
    <w:p>
      <w:pPr>
        <w:spacing w:after="60"/>
        <w:ind w:firstLine="567"/>
        <w:jc w:val="both"/>
      </w:pPr>
      <w:r>
        <w:rPr>
          <w:rFonts w:ascii="Arial" w:cs="Arial" w:eastAsia="Arial" w:hAnsi="Arial"/>
          <w:sz w:val="24"/>
          <w:szCs w:val="24"/>
        </w:rPr>
        <w:t xml:space="preserve">Целью настоящей Концепции является создание благоприятных условий для социально-экономического развития административных единиц Тюпского района через оптимизацию горизонтального управления на уровне органов местного самоуправления.</w:t>
      </w:r>
    </w:p>
    <w:p>
      <w:pPr>
        <w:spacing w:after="60"/>
        <w:ind w:firstLine="567"/>
        <w:jc w:val="both"/>
      </w:pPr>
      <w:r>
        <w:rPr>
          <w:rFonts w:ascii="Arial" w:cs="Arial" w:eastAsia="Arial" w:hAnsi="Arial"/>
          <w:sz w:val="24"/>
          <w:szCs w:val="24"/>
        </w:rPr>
        <w:t xml:space="preserve">Для достижения поставленной цели предусматривается решение следующих основных задач:</w:t>
      </w:r>
    </w:p>
    <w:p>
      <w:pPr>
        <w:spacing w:after="60"/>
        <w:ind w:firstLine="567"/>
        <w:jc w:val="both"/>
      </w:pPr>
      <w:r>
        <w:rPr>
          <w:rFonts w:ascii="Arial" w:cs="Arial" w:eastAsia="Arial" w:hAnsi="Arial"/>
          <w:sz w:val="24"/>
          <w:szCs w:val="24"/>
        </w:rPr>
        <w:t xml:space="preserve">- укрупнение административно-территориальных единиц района;</w:t>
      </w:r>
    </w:p>
    <w:p>
      <w:pPr>
        <w:spacing w:after="60"/>
        <w:ind w:firstLine="567"/>
        <w:jc w:val="both"/>
      </w:pPr>
      <w:r>
        <w:rPr>
          <w:rFonts w:ascii="Arial" w:cs="Arial" w:eastAsia="Arial" w:hAnsi="Arial"/>
          <w:sz w:val="24"/>
          <w:szCs w:val="24"/>
        </w:rPr>
        <w:t xml:space="preserve">- управленческо-организационная реформа органов местного самоуправления и аппарата местной государственной администрации;</w:t>
      </w:r>
    </w:p>
    <w:p>
      <w:pPr>
        <w:spacing w:after="60"/>
        <w:ind w:firstLine="567"/>
        <w:jc w:val="both"/>
      </w:pPr>
      <w:r>
        <w:rPr>
          <w:rFonts w:ascii="Arial" w:cs="Arial" w:eastAsia="Arial" w:hAnsi="Arial"/>
          <w:sz w:val="24"/>
          <w:szCs w:val="24"/>
        </w:rPr>
        <w:t xml:space="preserve">- финансовая обеспеченность органов местного самоуправления;</w:t>
      </w:r>
    </w:p>
    <w:p>
      <w:pPr>
        <w:spacing w:after="60"/>
        <w:ind w:firstLine="567"/>
        <w:jc w:val="both"/>
      </w:pPr>
      <w:r>
        <w:rPr>
          <w:rFonts w:ascii="Arial" w:cs="Arial" w:eastAsia="Arial" w:hAnsi="Arial"/>
          <w:sz w:val="24"/>
          <w:szCs w:val="24"/>
        </w:rPr>
        <w:t xml:space="preserve">- целевой подход к социально-экономическому развитию территорий.</w:t>
      </w:r>
    </w:p>
    <w:p>
      <w:pPr>
        <w:spacing w:after="200" w:before="200"/>
        <w:jc w:val="center"/>
      </w:pPr>
      <w:r>
        <w:rPr>
          <w:rFonts w:ascii="Arial" w:cs="Arial" w:eastAsia="Arial" w:hAnsi="Arial"/>
          <w:b/>
          <w:bCs/>
          <w:sz w:val="32"/>
          <w:szCs w:val="32"/>
        </w:rPr>
        <w:t xml:space="preserve">III. Меры</w:t>
      </w:r>
    </w:p>
    <w:p>
      <w:pPr>
        <w:spacing w:after="60"/>
        <w:ind w:firstLine="567"/>
        <w:jc w:val="both"/>
      </w:pPr>
      <w:r>
        <w:rPr>
          <w:rFonts w:ascii="Arial" w:cs="Arial" w:eastAsia="Arial" w:hAnsi="Arial"/>
          <w:sz w:val="24"/>
          <w:szCs w:val="24"/>
        </w:rPr>
        <w:t xml:space="preserve">Предусмотренные меры административно-территориальной реформы в Тюпском районе должны быть направлены на децентрализацию государственной власти, создание эффективного механизма финансирования деятельности местного самоуправления, укрупнение отдельных административно-территориальных единиц с учетом социально-экономической целесообразности и решения задач развития регионов.</w:t>
      </w:r>
    </w:p>
    <w:p>
      <w:pPr>
        <w:spacing w:after="60"/>
        <w:ind w:firstLine="567"/>
        <w:jc w:val="both"/>
      </w:pPr>
      <w:r>
        <w:rPr>
          <w:rFonts w:ascii="Arial" w:cs="Arial" w:eastAsia="Arial" w:hAnsi="Arial"/>
          <w:sz w:val="24"/>
          <w:szCs w:val="24"/>
        </w:rPr>
        <w:t xml:space="preserve">Необходимо отметить, что реализация административно-территориальной реформы в Тюпском районе будет проводиться в пилотном режиме, вследствие чего предлагаемые меры не потребуют внесения изменений в действующее законодательство. По итогам пилотного проекта будет проведен анализ положительного или отрицательного эффекта от введенных мер и предложены соответствующие рекомендации по их законодательному закреплению.</w:t>
      </w:r>
    </w:p>
    <w:p>
      <w:pPr>
        <w:spacing w:after="60" w:before="200"/>
        <w:ind w:firstLine="567"/>
        <w:jc w:val="both"/>
      </w:pPr>
      <w:r>
        <w:rPr>
          <w:rFonts w:ascii="Arial" w:cs="Arial" w:eastAsia="Arial" w:hAnsi="Arial"/>
          <w:b/>
          <w:bCs/>
          <w:sz w:val="24"/>
          <w:szCs w:val="24"/>
        </w:rPr>
        <w:t xml:space="preserve">1. Укрупнение административно-территориальных единиц района</w:t>
      </w:r>
    </w:p>
    <w:p>
      <w:pPr>
        <w:spacing w:after="60"/>
        <w:ind w:firstLine="567"/>
        <w:jc w:val="both"/>
      </w:pPr>
      <w:r>
        <w:rPr>
          <w:rFonts w:ascii="Arial" w:cs="Arial" w:eastAsia="Arial" w:hAnsi="Arial"/>
          <w:sz w:val="24"/>
          <w:szCs w:val="24"/>
        </w:rPr>
        <w:t xml:space="preserve">В рамках данной задачи предусматривается укрупнение айылных аймаков Тюпского района, учитывающее географические, территориальные, исторические, социальные, экономические и другие факторы.</w:t>
      </w:r>
    </w:p>
    <w:p>
      <w:pPr>
        <w:spacing w:after="60"/>
        <w:ind w:firstLine="567"/>
        <w:jc w:val="both"/>
      </w:pPr>
      <w:r>
        <w:rPr>
          <w:rFonts w:ascii="Arial" w:cs="Arial" w:eastAsia="Arial" w:hAnsi="Arial"/>
          <w:sz w:val="24"/>
          <w:szCs w:val="24"/>
        </w:rPr>
        <w:t xml:space="preserve">В рамках совместной работы государственных органов подготовлен проект административно-территориального укрупнения айылных аймаков, который предусматривает образование 5 айылных аймаков путем административно-территориального объединения действующих 13 айылных аймаков Тюпского района.</w:t>
      </w:r>
    </w:p>
    <w:p>
      <w:pPr>
        <w:spacing w:after="60"/>
        <w:ind w:firstLine="567"/>
        <w:jc w:val="both"/>
      </w:pPr>
      <w:r>
        <w:rPr>
          <w:rFonts w:ascii="Arial" w:cs="Arial" w:eastAsia="Arial" w:hAnsi="Arial"/>
          <w:sz w:val="24"/>
          <w:szCs w:val="24"/>
        </w:rPr>
        <w:t xml:space="preserve">Проведены соответствующие заседания местных кенешей айылных аймаков, на которых состоялось обсуждение вопроса о необходимости объединения и принято положительное решение.</w:t>
      </w:r>
    </w:p>
    <w:p>
      <w:pPr>
        <w:spacing w:after="60" w:before="200"/>
        <w:ind w:firstLine="567"/>
        <w:jc w:val="both"/>
      </w:pPr>
      <w:r>
        <w:rPr>
          <w:rFonts w:ascii="Arial" w:cs="Arial" w:eastAsia="Arial" w:hAnsi="Arial"/>
          <w:b/>
          <w:bCs/>
          <w:sz w:val="24"/>
          <w:szCs w:val="24"/>
        </w:rPr>
        <w:t xml:space="preserve">2. Управленческо-организационная реформа органов местного самоуправления и аппарата местной государственной администрации</w:t>
      </w:r>
    </w:p>
    <w:p>
      <w:pPr>
        <w:spacing w:after="60"/>
        <w:ind w:firstLine="567"/>
        <w:jc w:val="both"/>
      </w:pPr>
      <w:r>
        <w:rPr>
          <w:rFonts w:ascii="Arial" w:cs="Arial" w:eastAsia="Arial" w:hAnsi="Arial"/>
          <w:sz w:val="24"/>
          <w:szCs w:val="24"/>
        </w:rPr>
        <w:t xml:space="preserve">На сегодняшний день представительные органы 13 айылных аймаков Тюпского района в совокупности состоят из 203 депутатов местных кенешей. По действующим нормам законодательства объединение айылных аймаков приведет к роспуску депутатов местных кенешей всех 13 айылных аймаков Тюпского района. Так как объединение айылных аймаков будет реализовано в пилотном режиме (носит временный характер, не имеет законодательного закрепления), предлагается не прибегать к роспуску ранее избранных депутатов местных кенешей в результате реорганизации органов местного самоуправления.</w:t>
      </w:r>
    </w:p>
    <w:p>
      <w:pPr>
        <w:spacing w:after="60"/>
        <w:ind w:firstLine="567"/>
        <w:jc w:val="both"/>
      </w:pPr>
      <w:r>
        <w:rPr>
          <w:rFonts w:ascii="Arial" w:cs="Arial" w:eastAsia="Arial" w:hAnsi="Arial"/>
          <w:sz w:val="24"/>
          <w:szCs w:val="24"/>
        </w:rPr>
        <w:t xml:space="preserve">Задача предусматривает повышение самостоятельности местных органов власти в управлении человеческими и финансовыми ресурсами, определении и реализации программ развития регионов.</w:t>
      </w:r>
    </w:p>
    <w:p>
      <w:pPr>
        <w:spacing w:after="60"/>
        <w:ind w:firstLine="567"/>
        <w:jc w:val="both"/>
      </w:pPr>
      <w:r>
        <w:rPr>
          <w:rFonts w:ascii="Arial" w:cs="Arial" w:eastAsia="Arial" w:hAnsi="Arial"/>
          <w:sz w:val="24"/>
          <w:szCs w:val="24"/>
        </w:rPr>
        <w:t xml:space="preserve">Эффективное решение вопросов местного значения требует обеспечения необходимыми полномочиями органов местного самоуправления по самостоятельному решению задач местного значения.</w:t>
      </w:r>
    </w:p>
    <w:p>
      <w:pPr>
        <w:spacing w:after="60"/>
        <w:ind w:firstLine="567"/>
        <w:jc w:val="both"/>
      </w:pPr>
      <w:r>
        <w:rPr>
          <w:rFonts w:ascii="Arial" w:cs="Arial" w:eastAsia="Arial" w:hAnsi="Arial"/>
          <w:sz w:val="24"/>
          <w:szCs w:val="24"/>
        </w:rPr>
        <w:t xml:space="preserve">Необходима оптимальная модель территориального управления на уровне местной государственной администрации и исполнительных органов объединенных айылных аймаков, направленная на решение вопросов экономического развития региона, учитывающая диспропорции в развитии населенных пунктов, слабые межрегиональные связи и справедливую концентрацию ресурсов. Выявление и устранение управленческих разрывов между уровнями управления, замедляющих развитие региона и исключающих экономические мотивы роста экономики района, формирующих низкий уровень доступности социальных услуг для населения.</w:t>
      </w:r>
    </w:p>
    <w:p>
      <w:pPr>
        <w:spacing w:after="60"/>
        <w:ind w:firstLine="567"/>
        <w:jc w:val="both"/>
      </w:pPr>
      <w:r>
        <w:rPr>
          <w:rFonts w:ascii="Arial" w:cs="Arial" w:eastAsia="Arial" w:hAnsi="Arial"/>
          <w:sz w:val="24"/>
          <w:szCs w:val="24"/>
        </w:rPr>
        <w:t xml:space="preserve">Для реализации данной задачи в рамках вышеупомянутого объединения айылных аймаков предлагается реализация следующих мер:</w:t>
      </w:r>
    </w:p>
    <w:p>
      <w:pPr>
        <w:spacing w:after="60"/>
        <w:ind w:firstLine="567"/>
        <w:jc w:val="both"/>
      </w:pPr>
      <w:r>
        <w:rPr>
          <w:rFonts w:ascii="Arial" w:cs="Arial" w:eastAsia="Arial" w:hAnsi="Arial"/>
          <w:sz w:val="24"/>
          <w:szCs w:val="24"/>
        </w:rPr>
        <w:t xml:space="preserve">- определить действующих депутатов местных кенешей айылных аймаков Тюпского района депутатами местных кенешей объединенных айылных аймаков Тюпского района до окончания срока их полномочий;</w:t>
      </w:r>
    </w:p>
    <w:p>
      <w:pPr>
        <w:spacing w:after="60"/>
        <w:ind w:firstLine="567"/>
        <w:jc w:val="both"/>
      </w:pPr>
      <w:r>
        <w:rPr>
          <w:rFonts w:ascii="Arial" w:cs="Arial" w:eastAsia="Arial" w:hAnsi="Arial"/>
          <w:sz w:val="24"/>
          <w:szCs w:val="24"/>
        </w:rPr>
        <w:t xml:space="preserve">- предусмотреть трудоустройство действующих муниципальных служащих в исполнительных органах объединенных айылных аймаков Тюпского района;</w:t>
      </w:r>
    </w:p>
    <w:p>
      <w:pPr>
        <w:spacing w:after="60"/>
        <w:ind w:firstLine="567"/>
        <w:jc w:val="both"/>
      </w:pPr>
      <w:r>
        <w:rPr>
          <w:rFonts w:ascii="Arial" w:cs="Arial" w:eastAsia="Arial" w:hAnsi="Arial"/>
          <w:sz w:val="24"/>
          <w:szCs w:val="24"/>
        </w:rPr>
        <w:t xml:space="preserve">- утвердить новые структуру, штатную численность и временные положения о местной государственной администрации и исполнительных органах объединенных айылных аймаков Тюпского района, позволяющие полноценно проводить мероприятия по пилотному проекту;</w:t>
      </w:r>
    </w:p>
    <w:p>
      <w:pPr>
        <w:spacing w:after="60"/>
        <w:ind w:firstLine="567"/>
        <w:jc w:val="both"/>
      </w:pPr>
      <w:r>
        <w:rPr>
          <w:rFonts w:ascii="Arial" w:cs="Arial" w:eastAsia="Arial" w:hAnsi="Arial"/>
          <w:sz w:val="24"/>
          <w:szCs w:val="24"/>
        </w:rPr>
        <w:t xml:space="preserve">- поэтапно передать исполнительным органам объединенных айылных аймаков государственные полномочия с соответствующим финансовым обеспечением по согласованию с исполнительными органами объединенных айылных аймаков;</w:t>
      </w:r>
    </w:p>
    <w:p>
      <w:pPr>
        <w:spacing w:after="60"/>
        <w:ind w:firstLine="567"/>
        <w:jc w:val="both"/>
      </w:pPr>
      <w:r>
        <w:rPr>
          <w:rFonts w:ascii="Arial" w:cs="Arial" w:eastAsia="Arial" w:hAnsi="Arial"/>
          <w:sz w:val="24"/>
          <w:szCs w:val="24"/>
        </w:rPr>
        <w:t xml:space="preserve">- передать исполнительным органам объединенных айылных аймаков полномочия по управлению и распоряжению государственными пастбищными угодьями;</w:t>
      </w:r>
    </w:p>
    <w:p>
      <w:pPr>
        <w:spacing w:after="60"/>
        <w:ind w:firstLine="567"/>
        <w:jc w:val="both"/>
      </w:pPr>
      <w:r>
        <w:rPr>
          <w:rFonts w:ascii="Arial" w:cs="Arial" w:eastAsia="Arial" w:hAnsi="Arial"/>
          <w:sz w:val="24"/>
          <w:szCs w:val="24"/>
        </w:rPr>
        <w:t xml:space="preserve">- передать исполнительным органам объединенных айылных аймаков право эксплуатации, содержания внутрихозяйственной ирригационной системы и распределения воды на договорных условиях лицам, владеющим и использующим орошаемые земли;</w:t>
      </w:r>
    </w:p>
    <w:p>
      <w:pPr>
        <w:spacing w:after="60"/>
        <w:ind w:firstLine="567"/>
        <w:jc w:val="both"/>
      </w:pPr>
      <w:r>
        <w:rPr>
          <w:rFonts w:ascii="Arial" w:cs="Arial" w:eastAsia="Arial" w:hAnsi="Arial"/>
          <w:sz w:val="24"/>
          <w:szCs w:val="24"/>
        </w:rPr>
        <w:t xml:space="preserve">- передать отдельные государственные и муниципальные услуги на аутсорсинг частным организациям.</w:t>
      </w:r>
    </w:p>
    <w:p>
      <w:pPr>
        <w:spacing w:after="60" w:before="200"/>
        <w:ind w:firstLine="567"/>
        <w:jc w:val="both"/>
      </w:pPr>
      <w:r>
        <w:rPr>
          <w:rFonts w:ascii="Arial" w:cs="Arial" w:eastAsia="Arial" w:hAnsi="Arial"/>
          <w:b/>
          <w:bCs/>
          <w:sz w:val="24"/>
          <w:szCs w:val="24"/>
        </w:rPr>
        <w:t xml:space="preserve">3. Финансовая обеспеченность</w:t>
      </w:r>
    </w:p>
    <w:p>
      <w:pPr>
        <w:spacing w:after="60"/>
        <w:ind w:firstLine="567"/>
        <w:jc w:val="both"/>
      </w:pPr>
      <w:r>
        <w:rPr>
          <w:rFonts w:ascii="Arial" w:cs="Arial" w:eastAsia="Arial" w:hAnsi="Arial"/>
          <w:sz w:val="24"/>
          <w:szCs w:val="24"/>
        </w:rPr>
        <w:t xml:space="preserve">В рамках указанной задачи предлагается существенная государственная финансовая поддержка объединяемых органов местного самоуправления для решения вопросов местного значения и развития.</w:t>
      </w:r>
    </w:p>
    <w:p>
      <w:pPr>
        <w:spacing w:after="60"/>
        <w:ind w:firstLine="567"/>
        <w:jc w:val="both"/>
      </w:pPr>
      <w:r>
        <w:rPr>
          <w:rFonts w:ascii="Arial" w:cs="Arial" w:eastAsia="Arial" w:hAnsi="Arial"/>
          <w:sz w:val="24"/>
          <w:szCs w:val="24"/>
        </w:rPr>
        <w:t xml:space="preserve">Для социально-экономического развития населенных пунктов Тюпского района необходимы соответствующие финансовые средства. На сегодняшний день 12 из 13 айылных аймаков (кроме Тюпского айылного аймака) получают стимулирующие гранты из республиканского бюджета (уровень дотаций в 2022 году по всем 13 айылным аймакам суммарно - 16,1 млн. сомов). В связи с чем в первую очередь необходимо вывести из дотационного обеспечения объединенные айылные аймаки, предусмотрев средства для реализации инициатив местного сообщества, а также мероприятий, предусмотренных в программах социально-экономического развития.</w:t>
      </w:r>
    </w:p>
    <w:p>
      <w:pPr>
        <w:spacing w:after="60"/>
        <w:ind w:firstLine="567"/>
        <w:jc w:val="both"/>
      </w:pPr>
      <w:r>
        <w:rPr>
          <w:rFonts w:ascii="Arial" w:cs="Arial" w:eastAsia="Arial" w:hAnsi="Arial"/>
          <w:sz w:val="24"/>
          <w:szCs w:val="24"/>
        </w:rPr>
        <w:t xml:space="preserve">Таким образом, реализация данной инициативы будет проходить в рамках следующих мер на период пилотного режима:</w:t>
      </w:r>
    </w:p>
    <w:p>
      <w:pPr>
        <w:spacing w:after="60"/>
        <w:ind w:firstLine="567"/>
        <w:jc w:val="both"/>
      </w:pPr>
      <w:r>
        <w:rPr>
          <w:rFonts w:ascii="Arial" w:cs="Arial" w:eastAsia="Arial" w:hAnsi="Arial"/>
          <w:sz w:val="24"/>
          <w:szCs w:val="24"/>
        </w:rPr>
        <w:t xml:space="preserve">- увеличение доходной части местных бюджетов объединенных айылных аймаков не менее чем в два раза для решения вопросов местного значения, делегирование государственных полномочий и реализация программ социально-экономического развития;</w:t>
      </w:r>
    </w:p>
    <w:p>
      <w:pPr>
        <w:spacing w:after="60"/>
        <w:ind w:firstLine="567"/>
        <w:jc w:val="both"/>
      </w:pPr>
      <w:r>
        <w:rPr>
          <w:rFonts w:ascii="Arial" w:cs="Arial" w:eastAsia="Arial" w:hAnsi="Arial"/>
          <w:sz w:val="24"/>
          <w:szCs w:val="24"/>
        </w:rPr>
        <w:t xml:space="preserve">- улучшение материально-технической базы местной государственной администрации Тюпского района и исполнительных органов объединенных айылных аймаков;</w:t>
      </w:r>
    </w:p>
    <w:p>
      <w:pPr>
        <w:spacing w:after="60"/>
        <w:ind w:firstLine="567"/>
        <w:jc w:val="both"/>
      </w:pPr>
      <w:r>
        <w:rPr>
          <w:rFonts w:ascii="Arial" w:cs="Arial" w:eastAsia="Arial" w:hAnsi="Arial"/>
          <w:sz w:val="24"/>
          <w:szCs w:val="24"/>
        </w:rPr>
        <w:t xml:space="preserve">- увеличение бюджета Фонда развития Тюпского района не менее чем в два раза;</w:t>
      </w:r>
    </w:p>
    <w:p>
      <w:pPr>
        <w:spacing w:after="60"/>
        <w:ind w:firstLine="567"/>
        <w:jc w:val="both"/>
      </w:pPr>
      <w:r>
        <w:rPr>
          <w:rFonts w:ascii="Arial" w:cs="Arial" w:eastAsia="Arial" w:hAnsi="Arial"/>
          <w:sz w:val="24"/>
          <w:szCs w:val="24"/>
        </w:rPr>
        <w:t xml:space="preserve">- увеличение годовой квоты финансирования проектов Тюпского района Фондом развития Иссык-Кульской области;</w:t>
      </w:r>
    </w:p>
    <w:p>
      <w:pPr>
        <w:spacing w:after="60"/>
        <w:ind w:firstLine="567"/>
        <w:jc w:val="both"/>
      </w:pPr>
      <w:r>
        <w:rPr>
          <w:rFonts w:ascii="Arial" w:cs="Arial" w:eastAsia="Arial" w:hAnsi="Arial"/>
          <w:sz w:val="24"/>
          <w:szCs w:val="24"/>
        </w:rPr>
        <w:t xml:space="preserve">- выделение дополнительных средств на льготное кредитование сельского хозяйства в рамках программы "Финансирование сельского хозяйства", исходя из реальных финансовых потребностей фермеров Тюпского района.</w:t>
      </w:r>
    </w:p>
    <w:p>
      <w:pPr>
        <w:spacing w:after="60" w:before="200"/>
        <w:ind w:firstLine="567"/>
        <w:jc w:val="both"/>
      </w:pPr>
      <w:r>
        <w:rPr>
          <w:rFonts w:ascii="Arial" w:cs="Arial" w:eastAsia="Arial" w:hAnsi="Arial"/>
          <w:b/>
          <w:bCs/>
          <w:sz w:val="24"/>
          <w:szCs w:val="24"/>
        </w:rPr>
        <w:t xml:space="preserve">4. Целевой подход к социально-экономическому развитию территорий</w:t>
      </w:r>
    </w:p>
    <w:p>
      <w:pPr>
        <w:spacing w:after="60"/>
        <w:ind w:firstLine="567"/>
        <w:jc w:val="both"/>
      </w:pPr>
      <w:r>
        <w:rPr>
          <w:rFonts w:ascii="Arial" w:cs="Arial" w:eastAsia="Arial" w:hAnsi="Arial"/>
          <w:sz w:val="24"/>
          <w:szCs w:val="24"/>
        </w:rPr>
        <w:t xml:space="preserve">Выработка целевых программ социально-экономического развития территорий на среднесрочный период, подкрепленных финансовыми источниками, является главной необходимостью для планирования и эффективного развития населенных пунктов.</w:t>
      </w:r>
    </w:p>
    <w:p>
      <w:pPr>
        <w:spacing w:after="60"/>
        <w:ind w:firstLine="567"/>
        <w:jc w:val="both"/>
      </w:pPr>
      <w:r>
        <w:rPr>
          <w:rFonts w:ascii="Arial" w:cs="Arial" w:eastAsia="Arial" w:hAnsi="Arial"/>
          <w:sz w:val="24"/>
          <w:szCs w:val="24"/>
        </w:rPr>
        <w:t xml:space="preserve">Для реализации поставленной задачи предлагается:</w:t>
      </w:r>
    </w:p>
    <w:p>
      <w:pPr>
        <w:spacing w:after="60"/>
        <w:ind w:firstLine="567"/>
        <w:jc w:val="both"/>
      </w:pPr>
      <w:r>
        <w:rPr>
          <w:rFonts w:ascii="Arial" w:cs="Arial" w:eastAsia="Arial" w:hAnsi="Arial"/>
          <w:sz w:val="24"/>
          <w:szCs w:val="24"/>
        </w:rPr>
        <w:t xml:space="preserve">- оказать содействие исполнительным органам объединенных айылных аймаков в разработке программ социально-экономического развития к завершению пилотного проекта;</w:t>
      </w:r>
    </w:p>
    <w:p>
      <w:pPr>
        <w:spacing w:after="60"/>
        <w:ind w:firstLine="567"/>
        <w:jc w:val="both"/>
      </w:pPr>
      <w:r>
        <w:rPr>
          <w:rFonts w:ascii="Arial" w:cs="Arial" w:eastAsia="Arial" w:hAnsi="Arial"/>
          <w:sz w:val="24"/>
          <w:szCs w:val="24"/>
        </w:rPr>
        <w:t xml:space="preserve">- разработать план действий на 2023-2024 годы, предусматривающий последовательную реализацию задач настоящей Концепции и мероприятий социально-экономического развития населенных пунктов, дополнительно предусмотрев в республиканском бюджете соответствующие финансовые средства на 2023-2024 годы;</w:t>
      </w:r>
    </w:p>
    <w:p>
      <w:pPr>
        <w:spacing w:after="60"/>
        <w:ind w:firstLine="567"/>
        <w:jc w:val="both"/>
      </w:pPr>
      <w:r>
        <w:rPr>
          <w:rFonts w:ascii="Arial" w:cs="Arial" w:eastAsia="Arial" w:hAnsi="Arial"/>
          <w:sz w:val="24"/>
          <w:szCs w:val="24"/>
        </w:rPr>
        <w:t xml:space="preserve">- рассмотреть организацию промышленной зоны, определив земельный участок, имеющий необходимую коммуникационную инфраструктуру;</w:t>
      </w:r>
    </w:p>
    <w:p>
      <w:pPr>
        <w:spacing w:after="60"/>
        <w:ind w:firstLine="567"/>
        <w:jc w:val="both"/>
      </w:pPr>
      <w:r>
        <w:rPr>
          <w:rFonts w:ascii="Arial" w:cs="Arial" w:eastAsia="Arial" w:hAnsi="Arial"/>
          <w:sz w:val="24"/>
          <w:szCs w:val="24"/>
        </w:rPr>
        <w:t xml:space="preserve">- содействовать в разработке инвестиционных проектов исполнительным органам объединенных айыльных аймаков, учитывая кластерный потенциал и специализацию района;</w:t>
      </w:r>
    </w:p>
    <w:p>
      <w:pPr>
        <w:spacing w:after="60"/>
        <w:ind w:firstLine="567"/>
        <w:jc w:val="both"/>
      </w:pPr>
      <w:r>
        <w:rPr>
          <w:rFonts w:ascii="Arial" w:cs="Arial" w:eastAsia="Arial" w:hAnsi="Arial"/>
          <w:sz w:val="24"/>
          <w:szCs w:val="24"/>
        </w:rPr>
        <w:t xml:space="preserve">- провести анализ земельных ресурсов Тюпского района и подготовить предложения по реализации проектов растениеводства и животноводства с использованием современных технологий производства;</w:t>
      </w:r>
    </w:p>
    <w:p>
      <w:pPr>
        <w:spacing w:after="60"/>
        <w:ind w:firstLine="567"/>
        <w:jc w:val="both"/>
      </w:pPr>
      <w:r>
        <w:rPr>
          <w:rFonts w:ascii="Arial" w:cs="Arial" w:eastAsia="Arial" w:hAnsi="Arial"/>
          <w:sz w:val="24"/>
          <w:szCs w:val="24"/>
        </w:rPr>
        <w:t xml:space="preserve">- определить приоритетные проекты для строительства и реабилитации социальной инфраструктуры, в том числе проекты в сфере питьевого водоснабжения, ирригации, дорожной и энергетической инфраструктуры;</w:t>
      </w:r>
    </w:p>
    <w:p>
      <w:pPr>
        <w:spacing w:after="60"/>
        <w:ind w:firstLine="567"/>
        <w:jc w:val="both"/>
      </w:pPr>
      <w:r>
        <w:rPr>
          <w:rFonts w:ascii="Arial" w:cs="Arial" w:eastAsia="Arial" w:hAnsi="Arial"/>
          <w:sz w:val="24"/>
          <w:szCs w:val="24"/>
        </w:rPr>
        <w:t xml:space="preserve">- обеспечить разработку генеральных планов населенных пунктов;</w:t>
      </w:r>
    </w:p>
    <w:p>
      <w:pPr>
        <w:spacing w:after="60"/>
        <w:ind w:firstLine="567"/>
        <w:jc w:val="both"/>
      </w:pPr>
      <w:r>
        <w:rPr>
          <w:rFonts w:ascii="Arial" w:cs="Arial" w:eastAsia="Arial" w:hAnsi="Arial"/>
          <w:sz w:val="24"/>
          <w:szCs w:val="24"/>
        </w:rPr>
        <w:t xml:space="preserve">- удовлетворить потребность населения Тюпского района в государственных и муниципальных услугах, транспортном сообщении, доступе к интернету, банковских и финансовых услугах;</w:t>
      </w:r>
    </w:p>
    <w:p>
      <w:pPr>
        <w:spacing w:after="60"/>
        <w:ind w:firstLine="567"/>
        <w:jc w:val="both"/>
      </w:pPr>
      <w:r>
        <w:rPr>
          <w:rFonts w:ascii="Arial" w:cs="Arial" w:eastAsia="Arial" w:hAnsi="Arial"/>
          <w:sz w:val="24"/>
          <w:szCs w:val="24"/>
        </w:rPr>
        <w:t xml:space="preserve">- обеспечить внедрение цифровых услуг в сфере здравоохранения, образования, социальной защиты;</w:t>
      </w:r>
    </w:p>
    <w:p>
      <w:pPr>
        <w:spacing w:after="60"/>
        <w:ind w:firstLine="567"/>
        <w:jc w:val="both"/>
      </w:pPr>
      <w:r>
        <w:rPr>
          <w:rFonts w:ascii="Arial" w:cs="Arial" w:eastAsia="Arial" w:hAnsi="Arial"/>
          <w:sz w:val="24"/>
          <w:szCs w:val="24"/>
        </w:rPr>
        <w:t xml:space="preserve">- разработать новую модель предоставления государственных и муниципальных услуг по принципу единого окна и в пилотном режиме внедрить на базе Центра обслуживания населения Тюпского района;</w:t>
      </w:r>
    </w:p>
    <w:p>
      <w:pPr>
        <w:spacing w:after="60"/>
        <w:ind w:firstLine="567"/>
        <w:jc w:val="both"/>
      </w:pPr>
      <w:r>
        <w:rPr>
          <w:rFonts w:ascii="Arial" w:cs="Arial" w:eastAsia="Arial" w:hAnsi="Arial"/>
          <w:sz w:val="24"/>
          <w:szCs w:val="24"/>
        </w:rPr>
        <w:t xml:space="preserve">- пересмотреть и определить перечень вопросов местного значения в целях обеспечения социальной защиты населения.</w:t>
      </w:r>
    </w:p>
    <w:p>
      <w:pPr>
        <w:spacing w:after="200" w:before="200"/>
        <w:jc w:val="center"/>
      </w:pPr>
      <w:r>
        <w:rPr>
          <w:rFonts w:ascii="Arial" w:cs="Arial" w:eastAsia="Arial" w:hAnsi="Arial"/>
          <w:b/>
          <w:bCs/>
          <w:sz w:val="32"/>
          <w:szCs w:val="32"/>
        </w:rPr>
        <w:t xml:space="preserve">IV. Ожидаемые результаты</w:t>
      </w:r>
    </w:p>
    <w:p>
      <w:pPr>
        <w:spacing w:after="60"/>
        <w:ind w:firstLine="567"/>
        <w:jc w:val="both"/>
      </w:pPr>
      <w:r>
        <w:rPr>
          <w:rFonts w:ascii="Arial" w:cs="Arial" w:eastAsia="Arial" w:hAnsi="Arial"/>
          <w:sz w:val="24"/>
          <w:szCs w:val="24"/>
        </w:rPr>
        <w:t xml:space="preserve">Проведение административно-территориальной реформы на уровне айылных аймаков Тюпского района в предлагаемом варианте должно обеспечить следующие основные результаты:</w:t>
      </w:r>
    </w:p>
    <w:p>
      <w:pPr>
        <w:spacing w:after="60"/>
        <w:ind w:firstLine="567"/>
        <w:jc w:val="both"/>
      </w:pPr>
      <w:r>
        <w:rPr>
          <w:rFonts w:ascii="Arial" w:cs="Arial" w:eastAsia="Arial" w:hAnsi="Arial"/>
          <w:sz w:val="24"/>
          <w:szCs w:val="24"/>
        </w:rPr>
        <w:t xml:space="preserve">- повышение потенциала местных органов власти по планированию и проведению единой политики развития, определению приоритетных инвестиционных проектов через оптимизацию количества айылных аймаков;</w:t>
      </w:r>
    </w:p>
    <w:p>
      <w:pPr>
        <w:spacing w:after="60"/>
        <w:ind w:firstLine="567"/>
        <w:jc w:val="both"/>
      </w:pPr>
      <w:r>
        <w:rPr>
          <w:rFonts w:ascii="Arial" w:cs="Arial" w:eastAsia="Arial" w:hAnsi="Arial"/>
          <w:sz w:val="24"/>
          <w:szCs w:val="24"/>
        </w:rPr>
        <w:t xml:space="preserve">- повышение качества разрабатываемых программ социально-экономического развития айылных аймаков;</w:t>
      </w:r>
    </w:p>
    <w:p>
      <w:pPr>
        <w:spacing w:after="60"/>
        <w:ind w:firstLine="567"/>
        <w:jc w:val="both"/>
      </w:pPr>
      <w:r>
        <w:rPr>
          <w:rFonts w:ascii="Arial" w:cs="Arial" w:eastAsia="Arial" w:hAnsi="Arial"/>
          <w:sz w:val="24"/>
          <w:szCs w:val="24"/>
        </w:rPr>
        <w:t xml:space="preserve">- повышение потенциала исполнительных органов айылных аймаков для реализации более крупных инфраструктурных проектов;</w:t>
      </w:r>
    </w:p>
    <w:p>
      <w:pPr>
        <w:spacing w:after="60"/>
        <w:ind w:firstLine="567"/>
        <w:jc w:val="both"/>
      </w:pPr>
      <w:r>
        <w:rPr>
          <w:rFonts w:ascii="Arial" w:cs="Arial" w:eastAsia="Arial" w:hAnsi="Arial"/>
          <w:sz w:val="24"/>
          <w:szCs w:val="24"/>
        </w:rPr>
        <w:t xml:space="preserve">- повышение потенциала и возможностей исполнительных органов айылных аймаков для решения вопросов местного значения и реализации программ социально-экономического развития айылных аймаков;</w:t>
      </w:r>
    </w:p>
    <w:p>
      <w:pPr>
        <w:spacing w:after="60"/>
        <w:ind w:firstLine="567"/>
        <w:jc w:val="both"/>
      </w:pPr>
      <w:r>
        <w:rPr>
          <w:rFonts w:ascii="Arial" w:cs="Arial" w:eastAsia="Arial" w:hAnsi="Arial"/>
          <w:sz w:val="24"/>
          <w:szCs w:val="24"/>
        </w:rPr>
        <w:t xml:space="preserve">- создание возможности для эффективного решения межмуниципальных проблемных вопросов органов местного самоуправления, в том числе через создание совместных муниципальных предприятий;</w:t>
      </w:r>
    </w:p>
    <w:p>
      <w:pPr>
        <w:spacing w:after="60"/>
        <w:ind w:firstLine="567"/>
        <w:jc w:val="both"/>
      </w:pPr>
      <w:r>
        <w:rPr>
          <w:rFonts w:ascii="Arial" w:cs="Arial" w:eastAsia="Arial" w:hAnsi="Arial"/>
          <w:sz w:val="24"/>
          <w:szCs w:val="24"/>
        </w:rPr>
        <w:t xml:space="preserve">- повышение коммуникационной результативности во взаимодействии органов местного самоуправления и местной государственной администрации, а также снижение временных и бюрократических издержек в работе;</w:t>
      </w:r>
    </w:p>
    <w:p>
      <w:pPr>
        <w:spacing w:after="60"/>
        <w:ind w:firstLine="567"/>
        <w:jc w:val="both"/>
      </w:pPr>
      <w:r>
        <w:rPr>
          <w:rFonts w:ascii="Arial" w:cs="Arial" w:eastAsia="Arial" w:hAnsi="Arial"/>
          <w:sz w:val="24"/>
          <w:szCs w:val="24"/>
        </w:rPr>
        <w:t xml:space="preserve">- наделение полномочиями органов местного самоуправления по реализации на местах переданных им государственных полномочий;</w:t>
      </w:r>
    </w:p>
    <w:p>
      <w:pPr>
        <w:spacing w:after="60"/>
        <w:ind w:firstLine="567"/>
        <w:jc w:val="both"/>
      </w:pPr>
      <w:r>
        <w:rPr>
          <w:rFonts w:ascii="Arial" w:cs="Arial" w:eastAsia="Arial" w:hAnsi="Arial"/>
          <w:sz w:val="24"/>
          <w:szCs w:val="24"/>
        </w:rPr>
        <w:t xml:space="preserve">- повышение эффективности деятельности органов местного самоуправления с привлечением к службе компетентных специалистов;</w:t>
      </w:r>
    </w:p>
    <w:p>
      <w:pPr>
        <w:spacing w:after="60"/>
        <w:ind w:firstLine="567"/>
        <w:jc w:val="both"/>
      </w:pPr>
      <w:r>
        <w:rPr>
          <w:rFonts w:ascii="Arial" w:cs="Arial" w:eastAsia="Arial" w:hAnsi="Arial"/>
          <w:sz w:val="24"/>
          <w:szCs w:val="24"/>
        </w:rPr>
        <w:t xml:space="preserve">- повышение качества и доступности государственных и муниципальных услуг для местного населения за счет строительства и реабилитации социальных учреждений;</w:t>
      </w:r>
    </w:p>
    <w:p>
      <w:pPr>
        <w:spacing w:after="60"/>
        <w:ind w:firstLine="567"/>
        <w:jc w:val="both"/>
      </w:pPr>
      <w:r>
        <w:rPr>
          <w:rFonts w:ascii="Arial" w:cs="Arial" w:eastAsia="Arial" w:hAnsi="Arial"/>
          <w:sz w:val="24"/>
          <w:szCs w:val="24"/>
        </w:rPr>
        <w:t xml:space="preserve">- обеспечение доступности социальных услуг для местного населения и улучшение положения семей и детей;</w:t>
      </w:r>
    </w:p>
    <w:p>
      <w:pPr>
        <w:spacing w:after="60"/>
        <w:ind w:firstLine="567"/>
        <w:jc w:val="both"/>
      </w:pPr>
      <w:r>
        <w:rPr>
          <w:rFonts w:ascii="Arial" w:cs="Arial" w:eastAsia="Arial" w:hAnsi="Arial"/>
          <w:sz w:val="24"/>
          <w:szCs w:val="24"/>
        </w:rPr>
        <w:t xml:space="preserve">- стимулирование инвестиционного климата и экономического развития за счет реализации инвестиционных проектов.</w:t>
      </w:r>
    </w:p>
    <w:p>
      <w:pPr>
        <w:spacing w:after="200" w:before="200"/>
        <w:jc w:val="center"/>
      </w:pPr>
      <w:r>
        <w:rPr>
          <w:rFonts w:ascii="Arial" w:cs="Arial" w:eastAsia="Arial" w:hAnsi="Arial"/>
          <w:b/>
          <w:bCs/>
          <w:sz w:val="32"/>
          <w:szCs w:val="32"/>
        </w:rPr>
        <w:t xml:space="preserve">V. Риски</w:t>
      </w:r>
    </w:p>
    <w:p>
      <w:pPr>
        <w:spacing w:after="60"/>
        <w:ind w:firstLine="567"/>
        <w:jc w:val="both"/>
      </w:pPr>
      <w:r>
        <w:rPr>
          <w:rFonts w:ascii="Arial" w:cs="Arial" w:eastAsia="Arial" w:hAnsi="Arial"/>
          <w:sz w:val="24"/>
          <w:szCs w:val="24"/>
        </w:rPr>
        <w:t xml:space="preserve">Предложенная модель административно-территориального устройства Тюпского района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время пилотного проекта реформа потребует увеличения финансовых средств из республиканского бюджета (переименование, реорганизация, создание новых рабочих мест и прочее), которые будут компенсированы за счет эффективно выстроенной схемы управления и развития экономики региона.</w:t>
      </w:r>
    </w:p>
    <w:p>
      <w:pPr>
        <w:spacing w:after="60"/>
        <w:ind w:firstLine="567"/>
        <w:jc w:val="both"/>
      </w:pPr>
      <w:r>
        <w:rPr>
          <w:rFonts w:ascii="Arial" w:cs="Arial" w:eastAsia="Arial" w:hAnsi="Arial"/>
          <w:sz w:val="24"/>
          <w:szCs w:val="24"/>
        </w:rPr>
        <w:t xml:space="preserve">Возможной 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Ощутимых рисков в вопросах управляемости работы систем жизнеобеспечения и системы государственных и муниципальных услуг не ожидается, однако возможны временные сбои в оказании тех или иных государственных и муниципальных услуг при переходе к новой системе в рамках предлагаемого пилотного проекта.</w:t>
      </w:r>
    </w:p>
    <w:p>
      <w:pPr>
        <w:spacing w:after="200" w:before="200"/>
        <w:jc w:val="center"/>
      </w:pPr>
      <w:r>
        <w:rPr>
          <w:rFonts w:ascii="Arial" w:cs="Arial" w:eastAsia="Arial" w:hAnsi="Arial"/>
          <w:b/>
          <w:bCs/>
          <w:sz w:val="32"/>
          <w:szCs w:val="32"/>
        </w:rPr>
        <w:t xml:space="preserve">VI. Механизм реализации, мониторинг и оценка</w:t>
      </w:r>
    </w:p>
    <w:p>
      <w:pPr>
        <w:spacing w:after="60"/>
        <w:ind w:firstLine="567"/>
        <w:jc w:val="both"/>
      </w:pPr>
      <w:r>
        <w:rPr>
          <w:rFonts w:ascii="Arial" w:cs="Arial" w:eastAsia="Arial" w:hAnsi="Arial"/>
          <w:sz w:val="24"/>
          <w:szCs w:val="24"/>
        </w:rPr>
        <w:t xml:space="preserve">Практическая реализация настоящей Концепции будет осуществляться путем принятия и выполнения детального плана действий Кабинета Министров Кыргызской Республики с определением конкретных мер, ответственных исполнителей, сумм финансирования и сроков выполнения.</w:t>
      </w:r>
    </w:p>
    <w:p>
      <w:pPr>
        <w:spacing w:after="60"/>
        <w:ind w:firstLine="567"/>
        <w:jc w:val="both"/>
      </w:pPr>
      <w:r>
        <w:rPr>
          <w:rFonts w:ascii="Arial" w:cs="Arial" w:eastAsia="Arial" w:hAnsi="Arial"/>
          <w:sz w:val="24"/>
          <w:szCs w:val="24"/>
        </w:rPr>
        <w:t xml:space="preserve">Координация реализации Концепции, мониторинг и оценка процесса будут возложены на уполномоченный государственный орган в сфере развития регионов совместно с местной государственной администрацией Тюпского района.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pvjsx8ekbdqyfzb-5zi0">
      <w:r>
        <w:rPr>
          <w:rFonts w:ascii="Arial" w:cs="Arial" w:eastAsia="Arial" w:hAnsi="Arial"/>
          <w:color w:val="132D3F"/>
          <w:sz w:val="16"/>
          <w:szCs w:val="16"/>
          <w:u w:val="single"/>
        </w:rPr>
        <w:t xml:space="preserve">dalil.kg/document/434876</w:t>
      </w:r>
    </w:hyperlink>
  </w:p>
  <w:p>
    <w:pPr>
      <w:spacing w:after="0" w:before="40"/>
      <w:jc w:val="center"/>
    </w:pPr>
    <w:hyperlink w:history="1" r:id="rIdp5un8nncpfzqh70xhet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kcmdmx_lm5xh72j9kny" Type="http://schemas.openxmlformats.org/officeDocument/2006/relationships/hyperlink" Target="https://dalil.kg/document/230037936" TargetMode="External"/><Relationship Id="rIdy_odnxhwlrsvws2rii7ig" Type="http://schemas.openxmlformats.org/officeDocument/2006/relationships/hyperlink" Target="https://dalil.kg/document/434875" TargetMode="External"/><Relationship Id="rIdobavrueiazyo5eocjk_ee" Type="http://schemas.openxmlformats.org/officeDocument/2006/relationships/hyperlink" Target="https://dalil.kg/document/430700" TargetMode="External"/><Relationship Id="rIdr-bovurorbzxe5ozbzn_4" Type="http://schemas.openxmlformats.org/officeDocument/2006/relationships/hyperlink" Target="https://dalil.kg/document/4306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pvjsx8ekbdqyfzb-5zi0" Type="http://schemas.openxmlformats.org/officeDocument/2006/relationships/hyperlink" Target="https://dalil.kg/document/434876" TargetMode="External"/><Relationship Id="rIdp5un8nncpfzqh70xhet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2026-09-24T08:38:57.186Z</dcterms:created>
  <dcterms:modified xsi:type="dcterms:W3CDTF">2026-09-24T08:38:57.186Z</dcterms:modified>
</cp:coreProperties>
</file>

<file path=docProps/custom.xml><?xml version="1.0" encoding="utf-8"?>
<Properties xmlns="http://schemas.openxmlformats.org/officeDocument/2006/custom-properties" xmlns:vt="http://schemas.openxmlformats.org/officeDocument/2006/docPropsVTypes"/>
</file>