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УТРАТИЛ СИЛУ</w:t>
      </w:r>
      <w:r>
        <w:rPr>
          <w:rFonts w:ascii="Arial" w:cs="Arial" w:eastAsia="Arial" w:hAnsi="Arial"/>
          <w:sz w:val="24"/>
          <w:szCs w:val="24"/>
        </w:rPr>
        <w:t xml:space="preserve">
               в соответствии с </w:t>
      </w:r>
      <w:hyperlink w:history="1" r:id="rIdvxug0p7nc5_urnsmal8y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                   от 25 января 2012 года УП № 16                  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УКАЗ ПРЕЗИДЕНТА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от 19 января 2006 года УП № 19     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О реорганизации Национального агентства информационных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ресурсов, технологий и связи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      В соответствии  с конституционным </w:t>
      </w:r>
      <w:hyperlink w:history="1" r:id="rIdjlkrrstjwfxl9ngracn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"ОПравительстве Кыргызской  Республики",  законами  Кыргызской Республики</w:t>
      </w:r>
      <w:hyperlink w:history="1" r:id="rIdqsq_ko-ytzprdxp3pgl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электрической  и  почтовой  связи"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zubjc1glnhihges7g6xy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  информатизации"</w:t>
        </w:r>
      </w:hyperlink>
      <w:r>
        <w:rPr>
          <w:rFonts w:ascii="Arial" w:cs="Arial" w:eastAsia="Arial" w:hAnsi="Arial"/>
          <w:sz w:val="24"/>
          <w:szCs w:val="24"/>
        </w:rPr>
        <w:t xml:space="preserve"> и в целяхдальнейшего совершенствования   системы   государственного  управления,обеспечения эффективного государственного регулирования в сферах связи,информационных ресурсов и технологий постановляю:     1. Образовать  на  базе Национального агентства информационных ре-сурсов, технологий и связи Кыргызской Республики Национальное агентствосвязи Кыргызской  Республики и Государственное агентство информационныхресурсов и технологий при Правительстве Кыргызской Республики.     2. Возложить на:     - Национальное агентство связи Кыргызской Республики функции госу-дарственного регулирования в отрасли связи;      - Государственное  агентство  информационных ресурсов и технологийпри Правительстве  Кыргызской Республики основные функции по формирова-нию и обеспечению государственных информационных ресурсов, изготовлениюи выдаче  персонифицированных, идентифицирующих и других документов го-сударственного значения,  формированию  и обслуживанию Государственногореестра персонифицированных документов Кыргызской Республики.     3. Правительству Кыргызской Республики в установленном порядке:     - в  двухмесячный срок разработать и внести на утверждение положе-ние, схему  управления Национального агентства связи Кыргызской Респуб-лики, структуру и штатную численность его центрального аппарата;      - в двухмесячный срок разработать и утвердить положение, схему уп-равления Государственного  агентства информационных ресурсов и техноло-гий при  Правительстве  Кыргызской Республики, структуру и штатную чис-ленность его центрального аппарата;      - по  согласованию с Агентством Кыргызской Республики по делам го-сударственной службы  внести предложения по внесению изменений в Реестргосударственных должностей Кыргызской Республики и условиям оплаты тру-да служащих вышеназванных органов;     - в  трехмесячный  срок  решить организационные, финансовые и иныевопросы, вытекающие из настоящего Указа;     - внести предложения по внесению изменений в законодательство Кыр-гызской Республики, вытекающие из данного Указа;     - привести свои решения в соответствие с настоящим Указом.     4. Подпункт "а" пункта 4 </w:t>
      </w:r>
      <w:hyperlink w:history="1" r:id="rId1tkkzpzq4qwvdeg9wfa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"Осовершенствовании структуры органов государственного управления Кыргыз-ской Республики"  от  15  октября  2005 года УП № 462 дополнить абзацемдвенадцатым следующего содержания:     "Государственное агентство  информационных  ресурсов  и технологийпри Правительстве Кыргызской Республики;".     5. Контроль за исполнением настоящего Указа возложить на Админист-рацию Президента Кыргызской Республики.     6. Настоящий Указ вступает в силу со дня подписания.  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Президент Кыргызской Республики    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xug0p7nc5_urnsmal8y2" Type="http://schemas.openxmlformats.org/officeDocument/2006/relationships/hyperlink" Target="http://kodeks.duckdns.org/document/61261" TargetMode="External"/><Relationship Id="rIdjlkrrstjwfxl9ngracnuy" Type="http://schemas.openxmlformats.org/officeDocument/2006/relationships/hyperlink" Target="http://kodeks.duckdns.org/document/1754" TargetMode="External"/><Relationship Id="rIdqsq_ko-ytzprdxp3pglxb" Type="http://schemas.openxmlformats.org/officeDocument/2006/relationships/hyperlink" Target="http://kodeks.duckdns.org/document/42" TargetMode="External"/><Relationship Id="rIdzubjc1glnhihges7g6xy_" Type="http://schemas.openxmlformats.org/officeDocument/2006/relationships/hyperlink" Target="http://kodeks.duckdns.org/document/570" TargetMode="External"/><Relationship Id="rId1tkkzpzq4qwvdeg9wfasr" Type="http://schemas.openxmlformats.org/officeDocument/2006/relationships/hyperlink" Target="http://kodeks.duckdns.org/document/4364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2026-09-23T15:14:27.255Z</dcterms:created>
  <dcterms:modified xsi:type="dcterms:W3CDTF">2026-09-23T15:14:27.255Z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