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txdu2nt3bcpio3jbc2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декабря 2013 года УП № 227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6yg46sl17bfrgaapzmm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сентября 1995 года № УП-218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ПОЛОЖЕНИЕ
  о Комиссии </w:t>
      </w:r>
      <w:r>
        <w:rPr>
          <w:rFonts w:ascii="Arial" w:cs="Arial" w:eastAsia="Arial" w:hAnsi="Arial"/>
          <w:sz w:val="24"/>
          <w:szCs w:val="24"/>
        </w:rPr>
        <w:t xml:space="preserve">по реализации Президентских образовательных программ </w:t>
      </w:r>
      <w:r>
        <w:rPr>
          <w:rFonts w:ascii="Arial" w:cs="Arial" w:eastAsia="Arial" w:hAnsi="Arial"/>
          <w:sz w:val="24"/>
          <w:szCs w:val="24"/>
        </w:rPr>
        <w:t xml:space="preserve">при
  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 </w:t>
      </w:r>
      <w:hyperlink w:history="1" r:id="rIdvb91bsyuissdfa1fqn7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августа 2002 года №221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l2urgzgfvn8f7r3xx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УП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Комиссия по реализации Президентских образовательных программ при Президенте Кыргызской Республики (далее - Комиссия) является постоянно действующим органом, осуществляющим реализацию Президентской образовательной программы «Кадры XXI века» и программы «Доступ к образованию (Жеткинчек)», содействие международным программам развития партнерства в области образования и науки.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v_n7pwkvr-bt9m-vqa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Комиссия образуется из числа представителей государственных органов, научных, учебных и других учреждений. Персональный состав Комиссии определяется Президентом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wddewrepgsejclj7pry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2002 года УП № 221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qdjh_6nqexp6mmuotp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УП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3. Заседание Комиссии считается правомочным, если на нем присутствует более половины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Комиссия принимает решения простым большинством голосов присутствующих на ее заседании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4. Решения и рекомендации Комиссии направляются соответствующим органам и организациям и подлежат обязательному рассмотрению в установленный Комиссией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5. Комиссия осуществляет координацию, контроль и содействие деятельности государственных учреждений, вузов и других образовательных и научных заведений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инициирование и реализация международных соглашений, проектов, привлечение и реализация инвестиций, технической помощи в области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подготовка и переподготовка специалистов за рубежом для разных отраслей народного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функционирование международных вузов, научно-технических центров и других учреждений, реализующих программу партнерства в области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включение учебных заведений и научных учреждений в мировую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развитие технического сотрудничества, в том числе в области дистанционного обучения, использования компьютерных мультимедиа, телекоммуникационных средств в образовательном процессе;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обеспечение учебной и научной литературой и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организация совещаний, конференций, совместных курсов по актуальным вопросам подготовки специалистов и развития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оказание поддержки одаренным детям и молодежи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привлечение средств для подготовки специалистов в ведущих зарубежных учебных заведениях и центрах;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разработка проектов для финансирования образовательных и научных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проведение конкурса по отбору кандидатур для направления на обучение за рубежом по Президентской образовательной программе "Кадры XXI века";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участие в осуществлении контроля за соблюдением законодательства об образовании, изучение и обобщение новой практики образования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реализация поручений Президента Кыргызской Республики по вопросам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6.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представлять Президенту Кыргызской Республики предложения по совершенствованию законодательства в области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давать заключения по вопросам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запрашивать необходимые для ее работы сведения и документы от государственных и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заслушивать представителей государственных и общественных организаций и должностных лиц по вопросам образования и науки, подготовки и переподготовки специалистов для отраслей народного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привлекать в случае необходимости работников государственных органов, ученых, специалистов, представителей общественности, а также по взаимной договоренности отечественные и зарубежные фонды для совместной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формировать рабочие группы для разработки проектов, анализа и выработки рекомендаций и предложений в области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приглашать на свои заседания представителей государственных органов, трудовых коллективов и средств массовой информации для освещения вопросов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организовывать совещания, конференции по актуальным вопросам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инициировать заключение международных соглашений по партнерству в области образования и науки, а также осуществлять контроль за их выполнением.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n2hmexqylqr-gtitn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dalil.kg/document/46922</w:t>
      </w:r>
    </w:hyperlink>
  </w:p>
  <w:p>
    <w:pPr>
      <w:spacing w:after="0" w:before="40"/>
      <w:jc w:val="center"/>
    </w:pPr>
    <w:hyperlink w:history="1" r:id="rIdp8ztrbylwcmva-ygxav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xdu2nt3bcpio3jbc2ec" Type="http://schemas.openxmlformats.org/officeDocument/2006/relationships/hyperlink" Target="https://dalil.kg/document/61789" TargetMode="External"/><Relationship Id="rId6yg46sl17bfrgaapzmmu7" Type="http://schemas.openxmlformats.org/officeDocument/2006/relationships/hyperlink" Target="https://dalil.kg/document/46921" TargetMode="External"/><Relationship Id="rIdvb91bsyuissdfa1fqn7st" Type="http://schemas.openxmlformats.org/officeDocument/2006/relationships/hyperlink" Target="https://dalil.kg/document/3857" TargetMode="External"/><Relationship Id="rIdbll2urgzgfvn8f7r3xxaj" Type="http://schemas.openxmlformats.org/officeDocument/2006/relationships/hyperlink" Target="https://dalil.kg/document/61318" TargetMode="External"/><Relationship Id="rIdzv_n7pwkvr-bt9m-vqakk" Type="http://schemas.openxmlformats.org/officeDocument/2006/relationships/hyperlink" Target="https://dalil.kg/document/61318" TargetMode="External"/><Relationship Id="rIdwddewrepgsejclj7pry1e" Type="http://schemas.openxmlformats.org/officeDocument/2006/relationships/hyperlink" Target="https://dalil.kg/document/3857" TargetMode="External"/><Relationship Id="rIdaqdjh_6nqexp6mmuotpjw" Type="http://schemas.openxmlformats.org/officeDocument/2006/relationships/hyperlink" Target="https://dalil.kg/document/613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n2hmexqylqr-gtitnar" Type="http://schemas.openxmlformats.org/officeDocument/2006/relationships/hyperlink" Target="https://dalil.kg/document/46922" TargetMode="External"/><Relationship Id="rIdp8ztrbylwcmva-ygxav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2026-09-24T12:12:17.730Z</dcterms:created>
  <dcterms:modified xsi:type="dcterms:W3CDTF">2026-09-24T12:12:17.730Z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