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a63ghvstngzt-l14mh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2008 года УП № 426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Общественной палате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Указа Президента КР</w:t>
      </w:r>
    </w:p>
    <w:p>
      <w:pPr>
        <w:spacing w:after="120"/>
        <w:jc w:val="center"/>
      </w:pPr>
      <w:hyperlink w:history="1" r:id="rIda5ocgeyyjb0e37or4ds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взаимодействия граждан с Президентом Кыргызской Республики, органами государственной власти и местного самоуправления, учета потребностей и интересов граждан при выработке и реализации основных направлений внутренней и внешней политики государства, защиты прав и свобод граждан, а также осуществления общественного контроля за деятельностью органов государственной власти и органов местного самоуправления и до законодательного урегулирования в установленном порядке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Общественную палату Кыргызской Республики (далее Общественная палата).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m60kpgsszxvqhwxykic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Общественной палате Кыргызской Республики (далее - Положение).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прилагаемый </w:t>
      </w:r>
      <w:hyperlink w:history="1" r:id="rIduj5h-dasqy3pcauhm_a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формированию Общественной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Организационному комитету: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определить: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кандидатурам в Общественную палату;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выдвижения и оформления необходимых документов кандидатур в Общественную палату от политических партий, ассоциаций (союзов) некоммерческих организаций, бизнес-ассоциаций, Ассамблеи народа Кыргызстана, Федерации профсоюзов Кыргызстана, Национальной академии наук Кыргызской Республики, творческих союзов, молодежных организаций, местных сообществ районов и городов областей, городов Бишкек и Ош в соответствии с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обнародовать в средствах массовой информации объявление о начале выдвижения кандидатур в Общественную палату от политических партий, ассоциаций (союзов) некоммерческих организаций, бизнес-ассоциаций, Ассамблеи народа Кыргызстана, Федерации профсоюзов Кыргызстана, Национальной академии наук Кыргызской Республики, творческих союзов, молодежных организаций, местных сообществ районов и городов областей, городов Бишкек и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сбору предложений по кандидатурам в Общественную палату;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 января 2009 года представить для утверждения списки выдвинутых кандидатур в Общественную палату.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Местным государственным администрациям областей, мэриям городов Бишкек и Ош оказать необходимое содействие органам местного самоуправления в выработке предложений по кандидатурам в члены Общественной палаты из числа представителей местных сообществ районов и городов областей, городов Бишкек и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Жогорку Кенешу Кыргызской Республики рассмотреть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участия членов Общественной палаты в заседаниях Жогорку Кенеша и его комитетов;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рассмотрению Жогорку Кенешем и его комитетами запросов и экспертных заключений Общественной палаты на законопроекты.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(Исключен Указом Президента КР </w:t>
      </w:r>
      <w:hyperlink w:history="1" r:id="rIdn5b8wat1azdcbtto3f-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до 1 января 2010 года финансирование деятельности Общественной палаты и его аппарата осуществляется из средств республиканского бюджета через Администрацию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Общественной палаты может также осуществляться за счет средств, получаемых от международных организаций на основе договоров (соглашений), а также из других источников, не противоречащих действующему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d4qbblvqxjqxrbgvvww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в проектах республиканского бюджета, начиная с 2010 финансового года, ассигнования на финансирование деятельности Общественной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участием всех заинтересованных сторон создать рабочую группу по разработке необходимых нормативных правовых актов, обеспечивающих реализацию деятельности Общественной палаты и его аппарата, с последующим внесением их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-qowz6_7c05ri1zgiyd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Указа возложить на Государственного секретаря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Настоящий Указ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5 декабря 2008 года № 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 
 организационного комитета по формированию Общественной палаты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Нур уулу Досбол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секретарь Кыргызской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Ибраимова Эльмира Султановна</w:t>
      </w:r>
      <w:r>
        <w:rPr>
          <w:rFonts w:ascii="Arial" w:cs="Arial" w:eastAsia="Arial" w:hAnsi="Arial"/>
          <w:sz w:val="24"/>
          <w:szCs w:val="24"/>
        </w:rPr>
        <w:t xml:space="preserve"> - вице-премьер-министр Кыргызской Республики, заместитель председателя оргкомитета;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Эсеналиев Досалы Акпаралиевич</w:t>
      </w:r>
      <w:r>
        <w:rPr>
          <w:rFonts w:ascii="Arial" w:cs="Arial" w:eastAsia="Arial" w:hAnsi="Arial"/>
          <w:sz w:val="24"/>
          <w:szCs w:val="24"/>
        </w:rPr>
        <w:t xml:space="preserve"> - заместитель Руководителя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Жороев Каныбек Таирович</w:t>
      </w:r>
      <w:r>
        <w:rPr>
          <w:rFonts w:ascii="Arial" w:cs="Arial" w:eastAsia="Arial" w:hAnsi="Arial"/>
          <w:sz w:val="24"/>
          <w:szCs w:val="24"/>
        </w:rPr>
        <w:t xml:space="preserve"> - заведующий отделом организационной работы и политики государственного управления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Дикамбаев Азамат Шамильевич</w:t>
      </w:r>
      <w:r>
        <w:rPr>
          <w:rFonts w:ascii="Arial" w:cs="Arial" w:eastAsia="Arial" w:hAnsi="Arial"/>
          <w:sz w:val="24"/>
          <w:szCs w:val="24"/>
        </w:rPr>
        <w:t xml:space="preserve"> - заведующий отделом экономической и социальной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Карабаев Акпаралы Давлеталиевич</w:t>
      </w:r>
      <w:r>
        <w:rPr>
          <w:rFonts w:ascii="Arial" w:cs="Arial" w:eastAsia="Arial" w:hAnsi="Arial"/>
          <w:sz w:val="24"/>
          <w:szCs w:val="24"/>
        </w:rPr>
        <w:t xml:space="preserve"> - заведующий отделом организационно-инспекторской работы и регионального мониторинга Аппарата Премьер-министра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Рахманов Тологон Рахманович</w:t>
      </w:r>
      <w:r>
        <w:rPr>
          <w:rFonts w:ascii="Arial" w:cs="Arial" w:eastAsia="Arial" w:hAnsi="Arial"/>
          <w:sz w:val="24"/>
          <w:szCs w:val="24"/>
        </w:rPr>
        <w:t xml:space="preserve"> - председатель Ассамблеи народа Кыргызстана;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Бакиров Мамасадык Сабирович 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агентства по делам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a63ghvstngzt-l14mhn6" Type="http://schemas.openxmlformats.org/officeDocument/2006/relationships/hyperlink" Target="http://kodeks.duckdns.org/document/430828" TargetMode="External"/><Relationship Id="rIda5ocgeyyjb0e37or4dsyu" Type="http://schemas.openxmlformats.org/officeDocument/2006/relationships/hyperlink" Target="http://kodeks.duckdns.org/document/60228" TargetMode="External"/><Relationship Id="rIdm60kpgsszxvqhwxykicn9" Type="http://schemas.openxmlformats.org/officeDocument/2006/relationships/hyperlink" Target="http://kodeks.duckdns.org/document/4785" TargetMode="External"/><Relationship Id="rIduj5h-dasqy3pcauhm_aeo" Type="http://schemas.openxmlformats.org/officeDocument/2006/relationships/hyperlink" Target="http://kodeks.duckdns.org/document/4784#p" TargetMode="External"/><Relationship Id="rIdn5b8wat1azdcbtto3f-dx" Type="http://schemas.openxmlformats.org/officeDocument/2006/relationships/hyperlink" Target="http://kodeks.duckdns.org/document/60228" TargetMode="External"/><Relationship Id="rIdd4qbblvqxjqxrbgvvwwsz" Type="http://schemas.openxmlformats.org/officeDocument/2006/relationships/hyperlink" Target="http://kodeks.duckdns.org/document/60228" TargetMode="External"/><Relationship Id="rId-qowz6_7c05ri1zgiyd90" Type="http://schemas.openxmlformats.org/officeDocument/2006/relationships/hyperlink" Target="http://kodeks.duckdns.org/document/6022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2026-09-23T04:18:17.547Z</dcterms:created>
  <dcterms:modified xsi:type="dcterms:W3CDTF">2026-09-23T04:18:17.547Z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