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2019-П-07/10-2-(ДКП)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нормативах обязательных резервных требований для банков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sz w:val="24"/>
          <w:szCs w:val="24"/>
        </w:rPr>
        <w:t xml:space="preserve">18 декабря 2019 года № 2019-П-07/64-3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 марта 2020 года № 2020-П-07/18-2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 января 2021 года № 2021-П-07/4-5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4xoijrlxnhgt5tajx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2021 года № 2021-П-07/31-1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hyperlink w:history="1" r:id="rIdpnz-e8boidrdkii2fcq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и </w:t>
      </w:r>
      <w:hyperlink w:history="1" r:id="rIdiu6b6u2w0bqwxmsgbb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утвержденным </w:t>
      </w:r>
      <w:hyperlink w:history="1" r:id="rIdl3mzkb6h1rpzf58jcvy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от 13 марта 2019 года № 2019-П-07/10-1-(ДКП),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банков следующие размеры обязательных резервов по обязательствам, входящим в расчетную базу обязательных резервов: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обязательствам в национальной валюте - на уровне 4,00 процента от суммы входящих в расчетную базу обязательств в национальной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обязательствам в армянских драмах, белорусских рублях, казахских тенге, китайских юанях Жэньминьби, российских рублях - на уровне 4,00 процента от суммы входящих в расчетную базу обязательств в армянских драмах, белорусских рублях, казахских тенге, китайских юанях Жэньминьби и российских рублях;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обязательствам в иностранных валютах, за исключением указанных в подпункте 2 настоящего пункта - на уровне 14,00 процента от суммы входящих в расчетную базу обязательств в данных иностранных валютах;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обязательствам по обезличенным металлическим счетам - на уровне ноль процентов от суммы входящих в расчетную базу обязательств по обезличенным металлическим счетам.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следующий состав резервных активов, предназначенных для соблюдения 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 банков на корреспондентском счете в Национальном банке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активы в форме золота на обезличенном металлическом счете банков в Национальном банке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наличные остатки в банкоматах банков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января 2021 года № 2021-П-07/4-5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Установить следующие размеры активов, включаемых в резервные активы для соблюдения ОРТ: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денежных средств банков на корреспондентском счете в Национальном банке Кыргызской Республики - на уровне 100,00 процента от общего объема средств, указанных в настоящем подпункте;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активов в форме золота на обезличенном металлическом счете банков в Национальном банке Кыргызской Республике - на уровне 100,00 процента от общего объема активов, указанных в настоящем подпункте;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наличных остатков в банкоматах банков в национальной валюте - на уровне 30,00 процента от общей суммы средств, указанных в настоящем подпункте.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января 2021 года № 2021-П-07/4-5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afxveycib9e-xgl8bb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2021 года № 2021-П-07/31-1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Сомовый эквивалент активов в форме золота на металлическом счете банка в Национальном банке Кыргызской Республики рассчитывать по последнему фиксингу Лондонской ассоциации рынка драгоценных металлов, рассчитанный через кросс-курс установленного Национальным банком Кыргызской Республики официального курса доллара США к сому в день, предшествующий дню подготовки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aiayf0upv_wpnh3tsm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2021 года № 2021-П-07/31-1)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минимальный пороговый уровень на уровне 70,00 процента от объема обязательных резервов, установленных на соответствующий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2020 года № 2020-П-07/18-2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Выполнение на ежедневной основе минимального порогового уровня от объема обязательных резервов осуществлять за счет средств на корреспондентском счете банка в Национальном банке Кыргызской Республики и активов в форме золота на обезличенном металлическом счете банка в Национальном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lzn6tsps-6z4sqnsjf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2021 года № 2021-П-07/31-1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ставку компенсации за соблюдение банками обязательных резервов на уровне ноль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 размер штрафа за несоблюдение обязательных резервных требований для банков в размере трехкратной средней учетной ставки Национального банка Кыргызской Республики за базовый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размер штрафа за несоблюдение минимального порогового уровня от объема обязательных резервов в размере трехкратной учетной ставки Национального банка Кыргызской Республики, установленной на соответствующий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обязательств для расчета обязательных резервов банков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пересмотре размера компенсации за соблюдение обязательных резервных требований" от 30 сентября 2008 года № 36/2;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 обязательств для расчета обязательных резервов" </w:t>
      </w:r>
      <w:r>
        <w:rPr>
          <w:rFonts w:ascii="Arial" w:cs="Arial" w:eastAsia="Arial" w:hAnsi="Arial"/>
          <w:sz w:val="24"/>
          <w:szCs w:val="24"/>
        </w:rPr>
        <w:t xml:space="preserve">от 15 сентября 2010 года № 73/3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ежедневном минимальном уровне обязательных резервов банков" </w:t>
      </w:r>
      <w:r>
        <w:rPr>
          <w:rFonts w:ascii="Arial" w:cs="Arial" w:eastAsia="Arial" w:hAnsi="Arial"/>
          <w:sz w:val="24"/>
          <w:szCs w:val="24"/>
        </w:rPr>
        <w:t xml:space="preserve">от 14 ноября 2014 года № 50/1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ежедневном минимальном уровне обязательных резервов банков" от 14 ноября 2014 года № 50/1" </w:t>
      </w:r>
      <w:r>
        <w:rPr>
          <w:rFonts w:ascii="Arial" w:cs="Arial" w:eastAsia="Arial" w:hAnsi="Arial"/>
          <w:sz w:val="24"/>
          <w:szCs w:val="24"/>
        </w:rPr>
        <w:t xml:space="preserve">от 8 декабря 2014 года № 54/2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размерах обязательных резервов коммерческих банков" </w:t>
      </w:r>
      <w:r>
        <w:rPr>
          <w:rFonts w:ascii="Arial" w:cs="Arial" w:eastAsia="Arial" w:hAnsi="Arial"/>
          <w:sz w:val="24"/>
          <w:szCs w:val="24"/>
        </w:rPr>
        <w:t xml:space="preserve">от 23 декабря 2015 года № 78/7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размере штрафа за несоблюдение обязательных резервных требований" </w:t>
      </w:r>
      <w:r>
        <w:rPr>
          <w:rFonts w:ascii="Arial" w:cs="Arial" w:eastAsia="Arial" w:hAnsi="Arial"/>
          <w:sz w:val="24"/>
          <w:szCs w:val="24"/>
        </w:rPr>
        <w:t xml:space="preserve">от 25 октября 2017 года № 2017-П-07-45-4-(ДКП)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Экономическому управлению довести настоящее постановление до сведения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 1 апреля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члена Правления Национального банка Кыргызской Республики, курирующего Экономическое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13 марта 2019 года № 2019-П-07/10-2-(ДКП)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обязательств для расчета обязательных резервов банков*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декабря 2019 года № 2019-П-07/64-3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084"/>
        <w:gridCol w:w="1256"/>
        <w:gridCol w:w="547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обязательств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показателя</w:t>
            </w:r>
          </w:p>
        </w:tc>
        <w:tc>
          <w:tcPr>
            <w:tcW w:type="dxa" w:w="5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других финансово-кредитных организаций (кроме Фонда развития Кыргызской Республики)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некоммерческих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физических лиц и индивидуальных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юридических лиц-нерезидентов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Фонда развития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других финансово-кредитных организаций-нерезидентов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счета физических лиц и индивидуальных предпринимателей-нерезидентов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других финансово-кредитных организаций (кроме Фонда развития Кыргызской Республики)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некоммерческих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физических лиц и индивидуальных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юридических лиц-нерезидентов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Фонда развития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других финансово-кредитных организаций-нерезидентов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 физических лиц и индивидуальных предпринимателей-нерезидентов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других финансово-кредитных организаций (кроме Фонда развития Кыргызской Республики)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некоммерческих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физических лиц и индивидуальных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юридических лиц-нерезидентов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2038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Фонда развития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2039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других финансово-кредитных организаций-нерезидентов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 физических лиц и индивидуальных предпринимателей-нерезидентов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2041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Казначейства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Социального фонда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Социального фонда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Министерства финансов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местных органов власти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других правительственных учреждений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других финансово-кредитных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некоммерческих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физических лиц и индивидуальных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юридических лиц-нерезидентов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2216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физических лиц и индивидуальных предпринимателей-нерезидентов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Обезличенные металлические счета до востребования других финансово-кредитных организаций-нерезидентов</w:t>
            </w:r>
          </w:p>
        </w:tc>
      </w:tr>
      <w:tr>
        <w:tc>
          <w:tcPr>
            <w:tcW w:type="dxa" w:w="3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других финансово-кредитных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2223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некоммерческих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физических лиц и индивидуальных предпринимателей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юридических лиц-нерезидентов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физических лиц и индивидуальных предпринимателей-нерезидентов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2228</w:t>
            </w:r>
          </w:p>
        </w:tc>
        <w:tc>
          <w:tcPr>
            <w:tcW w:type="dxa" w:w="5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обезличенные металлические счета других финансово-кредитных организаций-нерезидентов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(*) В перечень обязательств, входящих в расчетную базу, не входят депозиты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c1ezu70ek63vm3w0t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dalil.kg/document/502260</w:t>
      </w:r>
    </w:hyperlink>
  </w:p>
  <w:p>
    <w:pPr>
      <w:spacing w:after="0" w:before="40"/>
      <w:jc w:val="center"/>
    </w:pPr>
    <w:hyperlink w:history="1" r:id="rIdjydkkhc90o_oqadq7vg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4xoijrlxnhgt5tajxae" Type="http://schemas.openxmlformats.org/officeDocument/2006/relationships/hyperlink" Target="https://dalil.kg/document/800765" TargetMode="External"/><Relationship Id="rIdpnz-e8boidrdkii2fcqsg" Type="http://schemas.openxmlformats.org/officeDocument/2006/relationships/hyperlink" Target="https://dalil.kg/document/111486" TargetMode="External"/><Relationship Id="rIdiu6b6u2w0bqwxmsgbbfre" Type="http://schemas.openxmlformats.org/officeDocument/2006/relationships/hyperlink" Target="https://dalil.kg/document/421025" TargetMode="External"/><Relationship Id="rIdl3mzkb6h1rpzf58jcvyr4" Type="http://schemas.openxmlformats.org/officeDocument/2006/relationships/hyperlink" Target="https://dalil.kg/document/421024" TargetMode="External"/><Relationship Id="rId7afxveycib9e-xgl8bbqg" Type="http://schemas.openxmlformats.org/officeDocument/2006/relationships/hyperlink" Target="https://dalil.kg/document/800765" TargetMode="External"/><Relationship Id="rId_aiayf0upv_wpnh3tsmoh" Type="http://schemas.openxmlformats.org/officeDocument/2006/relationships/hyperlink" Target="https://dalil.kg/document/800765" TargetMode="External"/><Relationship Id="rId-lzn6tsps-6z4sqnsjfmi" Type="http://schemas.openxmlformats.org/officeDocument/2006/relationships/hyperlink" Target="https://dalil.kg/document/8007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c1ezu70ek63vm3w0t1v" Type="http://schemas.openxmlformats.org/officeDocument/2006/relationships/hyperlink" Target="https://dalil.kg/document/502260" TargetMode="External"/><Relationship Id="rIdjydkkhc90o_oqadq7vg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2026-09-25T01:24:42.266Z</dcterms:created>
  <dcterms:modified xsi:type="dcterms:W3CDTF">2026-09-25T01:24:42.266Z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