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r3eqf2robcuxnlcbdgv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июля 2002 года № 488</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минимальных ставках авторского вознаграждения за использование объектов авторского права и смежных прав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o3zpfy84c-fnyqgoqwr_c">
        <w:r>
          <w:rPr>
            <w:rFonts w:ascii="Arial" w:cs="Arial" w:eastAsia="Arial" w:hAnsi="Arial"/>
            <w:i/>
            <w:iCs/>
            <w:color w:val="1D4ED8"/>
            <w:sz w:val="24"/>
            <w:szCs w:val="24"/>
            <w:u w:val="single"/>
          </w:rPr>
          <w:t xml:space="preserve">17 августа 2007 года № 339</w:t>
        </w:r>
      </w:hyperlink>
      <w:r>
        <w:rPr>
          <w:rFonts w:ascii="Arial" w:cs="Arial" w:eastAsia="Arial" w:hAnsi="Arial"/>
          <w:i/>
          <w:iCs/>
          <w:sz w:val="24"/>
          <w:szCs w:val="24"/>
        </w:rPr>
        <w:t xml:space="preserve">, </w:t>
      </w:r>
      <w:hyperlink w:history="1" r:id="rIdmab7zq_7crwop2vxy8cle">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 </w:t>
      </w:r>
      <w:hyperlink w:history="1" r:id="rIdcoda2bw4n48nh5g5hrqyg">
        <w:r>
          <w:rPr>
            <w:rFonts w:ascii="Arial" w:cs="Arial" w:eastAsia="Arial" w:hAnsi="Arial"/>
            <w:i/>
            <w:iCs/>
            <w:color w:val="1D4ED8"/>
            <w:sz w:val="24"/>
            <w:szCs w:val="24"/>
            <w:u w:val="single"/>
          </w:rPr>
          <w:t xml:space="preserve">4 марта 2019 года № 99</w:t>
        </w:r>
      </w:hyperlink>
      <w:r>
        <w:rPr>
          <w:rFonts w:ascii="Arial" w:cs="Arial" w:eastAsia="Arial" w:hAnsi="Arial"/>
          <w:i/>
          <w:iCs/>
          <w:sz w:val="24"/>
          <w:szCs w:val="24"/>
        </w:rPr>
        <w:t xml:space="preserve">,</w:t>
      </w:r>
      <w:r>
        <w:rPr>
          <w:rFonts w:ascii="Arial" w:cs="Arial" w:eastAsia="Arial" w:hAnsi="Arial"/>
          <w:i/>
          <w:iCs/>
          <w:sz w:val="24"/>
          <w:szCs w:val="24"/>
        </w:rPr>
        <w:t xml:space="preserve"> Кабинета Министров КР от </w:t>
      </w:r>
      <w:hyperlink w:history="1" r:id="rIdn9ymidwc-irlvmit8d-mf">
        <w:r>
          <w:rPr>
            <w:rFonts w:ascii="Arial" w:cs="Arial" w:eastAsia="Arial" w:hAnsi="Arial"/>
            <w:i/>
            <w:iCs/>
            <w:color w:val="1D4ED8"/>
            <w:sz w:val="24"/>
            <w:szCs w:val="24"/>
            <w:u w:val="single"/>
          </w:rPr>
          <w:t xml:space="preserve">15 ноября 2023 года № 599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
 Общие положения</w:t>
      </w:r>
    </w:p>
    <w:p>
      <w:pPr>
        <w:spacing w:after="60"/>
        <w:ind w:firstLine="567"/>
        <w:jc w:val="both"/>
      </w:pPr>
      <w:r>
        <w:rPr>
          <w:rFonts w:ascii="Arial" w:cs="Arial" w:eastAsia="Arial" w:hAnsi="Arial"/>
          <w:sz w:val="24"/>
          <w:szCs w:val="24"/>
        </w:rPr>
        <w:t xml:space="preserve">1. Настоящее Положение разработано во исполнение </w:t>
      </w:r>
      <w:hyperlink w:history="1" r:id="rIdky46qpockgadnbrht5hm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авторском праве и смежных правах" и регулирует отношения по выплате авторских вознаграждений всеми организациями, использующими объекты авторского права и смежных прав.</w:t>
      </w:r>
    </w:p>
    <w:p>
      <w:pPr>
        <w:spacing w:after="60"/>
        <w:ind w:firstLine="567"/>
        <w:jc w:val="both"/>
      </w:pPr>
      <w:r>
        <w:rPr>
          <w:rFonts w:ascii="Arial" w:cs="Arial" w:eastAsia="Arial" w:hAnsi="Arial"/>
          <w:sz w:val="24"/>
          <w:szCs w:val="24"/>
        </w:rPr>
        <w:t xml:space="preserve">2. Представителем авторов (их правопреемников) и исполнителей по вопросам выдачи разрешений на публичное исполнение произведений и другие виды использования объектов авторского и смежных прав, начисления и сбора авторского вознаграждения в соответствии с законодательством Кыргызской Республики может являться организация, управляющая имущественными правами авторов на коллективной основе, действующая в пределах полученных от авторов полномочий, имеющая право предъявлять иски в защиту прав и охраняемых законом интересов представляемых ею лиц.</w:t>
      </w:r>
    </w:p>
    <w:p>
      <w:pPr>
        <w:spacing w:after="60"/>
        <w:ind w:firstLine="567"/>
        <w:jc w:val="both"/>
      </w:pPr>
      <w:r>
        <w:rPr>
          <w:rFonts w:ascii="Arial" w:cs="Arial" w:eastAsia="Arial" w:hAnsi="Arial"/>
          <w:sz w:val="24"/>
          <w:szCs w:val="24"/>
        </w:rPr>
        <w:t xml:space="preserve">До создания организаций, управляющих имущественными правами на коллективной основе, уполномоченный государственный орган Кыргызской Республики в области интеллектуальной собственности (далее - Кыргызпатент) выполняет функции и обязанности этих организаций.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wfw2vajg2_jexp657ph9">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Ставки авторского вознаграждения, предусмотренные настоящим Положением, являются минимальными и применяются, если иное не определено в договоре между пользователем и автором, его правопреемником либо организацией, управляющей имущественными правами авторов на коллективной основе в пределах полученных от них полномочий, и размер вознаграждения не является предметом спора между заинтересованными сторонами.</w:t>
      </w:r>
    </w:p>
    <w:p>
      <w:pPr>
        <w:spacing w:after="60"/>
        <w:ind w:firstLine="567"/>
        <w:jc w:val="both"/>
      </w:pPr>
      <w:r>
        <w:rPr>
          <w:rFonts w:ascii="Arial" w:cs="Arial" w:eastAsia="Arial" w:hAnsi="Arial"/>
          <w:sz w:val="24"/>
          <w:szCs w:val="24"/>
        </w:rPr>
        <w:t xml:space="preserve">4. Плательщиками авторского вознаграждения за использование объектов авторского права и смежных прав являются любые физические и юридические лица независимо от форм собственности и организационно-правовых форм, осуществляющие или организующие публичное исполнение произведений и другие виды использования объектов авторского и смежных прав.</w:t>
      </w:r>
    </w:p>
    <w:p>
      <w:pPr>
        <w:spacing w:after="60"/>
        <w:ind w:firstLine="567"/>
        <w:jc w:val="both"/>
      </w:pPr>
      <w:r>
        <w:rPr>
          <w:rFonts w:ascii="Arial" w:cs="Arial" w:eastAsia="Arial" w:hAnsi="Arial"/>
          <w:sz w:val="24"/>
          <w:szCs w:val="24"/>
        </w:rPr>
        <w:t xml:space="preserve">К плательщикам, в том числе, относятся:</w:t>
      </w:r>
    </w:p>
    <w:p>
      <w:pPr>
        <w:spacing w:after="60"/>
        <w:ind w:firstLine="567"/>
        <w:jc w:val="both"/>
      </w:pPr>
      <w:r>
        <w:rPr>
          <w:rFonts w:ascii="Arial" w:cs="Arial" w:eastAsia="Arial" w:hAnsi="Arial"/>
          <w:sz w:val="24"/>
          <w:szCs w:val="24"/>
        </w:rPr>
        <w:t xml:space="preserve">а) театры, кинотеатры, цирки, филармонии и другие концертно-сценические площадки;</w:t>
      </w:r>
    </w:p>
    <w:p>
      <w:pPr>
        <w:spacing w:after="60"/>
        <w:ind w:firstLine="567"/>
        <w:jc w:val="both"/>
      </w:pPr>
      <w:r>
        <w:rPr>
          <w:rFonts w:ascii="Arial" w:cs="Arial" w:eastAsia="Arial" w:hAnsi="Arial"/>
          <w:sz w:val="24"/>
          <w:szCs w:val="24"/>
        </w:rPr>
        <w:t xml:space="preserve">б) организации эфирного и кабельного вещания;</w:t>
      </w:r>
    </w:p>
    <w:p>
      <w:pPr>
        <w:spacing w:after="60"/>
        <w:ind w:firstLine="567"/>
        <w:jc w:val="both"/>
      </w:pPr>
      <w:r>
        <w:rPr>
          <w:rFonts w:ascii="Arial" w:cs="Arial" w:eastAsia="Arial" w:hAnsi="Arial"/>
          <w:sz w:val="24"/>
          <w:szCs w:val="24"/>
        </w:rPr>
        <w:t xml:space="preserve">в) производители фонограмм, студии звукозаписи, распространители мелодий звонка для сотовых телефонов (рингтонов, ринбэктонов, реалтонов);</w:t>
      </w:r>
    </w:p>
    <w:p>
      <w:pPr>
        <w:spacing w:after="60"/>
        <w:ind w:firstLine="567"/>
        <w:jc w:val="both"/>
      </w:pPr>
      <w:r>
        <w:rPr>
          <w:rFonts w:ascii="Arial" w:cs="Arial" w:eastAsia="Arial" w:hAnsi="Arial"/>
          <w:sz w:val="24"/>
          <w:szCs w:val="24"/>
        </w:rPr>
        <w:t xml:space="preserve">г) организаторы концертно-зрелищных мероприятий, продюсерские центры;</w:t>
      </w:r>
    </w:p>
    <w:p>
      <w:pPr>
        <w:spacing w:after="60"/>
        <w:ind w:firstLine="567"/>
        <w:jc w:val="both"/>
      </w:pPr>
      <w:r>
        <w:rPr>
          <w:rFonts w:ascii="Arial" w:cs="Arial" w:eastAsia="Arial" w:hAnsi="Arial"/>
          <w:sz w:val="24"/>
          <w:szCs w:val="24"/>
        </w:rPr>
        <w:t xml:space="preserve">д) развлекательные заведения (видеосалоны, дискоклубы, ночные клубы);</w:t>
      </w:r>
    </w:p>
    <w:p>
      <w:pPr>
        <w:spacing w:after="60"/>
        <w:ind w:firstLine="567"/>
        <w:jc w:val="both"/>
      </w:pPr>
      <w:r>
        <w:rPr>
          <w:rFonts w:ascii="Arial" w:cs="Arial" w:eastAsia="Arial" w:hAnsi="Arial"/>
          <w:sz w:val="24"/>
          <w:szCs w:val="24"/>
        </w:rPr>
        <w:t xml:space="preserve">е) предприятия общественного питания (рестораны, бары, кафе, столовые, закусочные);</w:t>
      </w:r>
    </w:p>
    <w:p>
      <w:pPr>
        <w:spacing w:after="60"/>
        <w:ind w:firstLine="567"/>
        <w:jc w:val="both"/>
      </w:pPr>
      <w:r>
        <w:rPr>
          <w:rFonts w:ascii="Arial" w:cs="Arial" w:eastAsia="Arial" w:hAnsi="Arial"/>
          <w:sz w:val="24"/>
          <w:szCs w:val="24"/>
        </w:rPr>
        <w:t xml:space="preserve">ж) специализированные предприятия торговли (включая торговый павильон, торговые центры, торговые дома, супермаркеты), осуществляющие продажу (прокат, обмен) лицензионной аудио-видеопродукции, аудио-видеоаппаратуры; рынки и другие предприятия торговли, использующие фонограммы или передачи вещательных организаций для озвучивания торговых залов;</w:t>
      </w:r>
    </w:p>
    <w:p>
      <w:pPr>
        <w:spacing w:after="60"/>
        <w:ind w:firstLine="567"/>
        <w:jc w:val="both"/>
      </w:pPr>
      <w:r>
        <w:rPr>
          <w:rFonts w:ascii="Arial" w:cs="Arial" w:eastAsia="Arial" w:hAnsi="Arial"/>
          <w:sz w:val="24"/>
          <w:szCs w:val="24"/>
        </w:rPr>
        <w:t xml:space="preserve">з) гостиницы, оздоровительные комплексы (дома отдыха, пансионаты, санатории, курорты);</w:t>
      </w:r>
    </w:p>
    <w:p>
      <w:pPr>
        <w:spacing w:after="60"/>
        <w:ind w:firstLine="567"/>
        <w:jc w:val="both"/>
      </w:pPr>
      <w:r>
        <w:rPr>
          <w:rFonts w:ascii="Arial" w:cs="Arial" w:eastAsia="Arial" w:hAnsi="Arial"/>
          <w:sz w:val="24"/>
          <w:szCs w:val="24"/>
        </w:rPr>
        <w:t xml:space="preserve">и) предприятия сферы услуг (салоны красоты, парикмахерские, косметические салоны, салоны мод, спортивные залы;</w:t>
      </w:r>
    </w:p>
    <w:p>
      <w:pPr>
        <w:spacing w:after="60"/>
        <w:ind w:firstLine="567"/>
        <w:jc w:val="both"/>
      </w:pPr>
      <w:r>
        <w:rPr>
          <w:rFonts w:ascii="Arial" w:cs="Arial" w:eastAsia="Arial" w:hAnsi="Arial"/>
          <w:i/>
          <w:iCs/>
          <w:sz w:val="24"/>
          <w:szCs w:val="24"/>
        </w:rPr>
        <w:t xml:space="preserve">к) (утратил силу в соответствии с </w:t>
      </w:r>
      <w:hyperlink w:history="1" r:id="rIdpamc4cmn4bndxhel2z63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марта 2019 года № 99)</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eh6rbof8xnssv0soraou">
        <w:r>
          <w:rPr>
            <w:rFonts w:ascii="Arial" w:cs="Arial" w:eastAsia="Arial" w:hAnsi="Arial"/>
            <w:i/>
            <w:iCs/>
            <w:color w:val="1D4ED8"/>
            <w:sz w:val="24"/>
            <w:szCs w:val="24"/>
            <w:u w:val="single"/>
          </w:rPr>
          <w:t xml:space="preserve">17 августа 2007 года № 339</w:t>
        </w:r>
      </w:hyperlink>
      <w:r>
        <w:rPr>
          <w:rFonts w:ascii="Arial" w:cs="Arial" w:eastAsia="Arial" w:hAnsi="Arial"/>
          <w:i/>
          <w:iCs/>
          <w:sz w:val="24"/>
          <w:szCs w:val="24"/>
        </w:rPr>
        <w:t xml:space="preserve">, </w:t>
      </w:r>
      <w:hyperlink w:history="1" r:id="rIdh24desui3ghmv7qwrk3up">
        <w:r>
          <w:rPr>
            <w:rFonts w:ascii="Arial" w:cs="Arial" w:eastAsia="Arial" w:hAnsi="Arial"/>
            <w:i/>
            <w:iCs/>
            <w:color w:val="1D4ED8"/>
            <w:sz w:val="24"/>
            <w:szCs w:val="24"/>
            <w:u w:val="single"/>
          </w:rPr>
          <w:t xml:space="preserve">4 марта 2019 года № 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Все плательщики обязаны заключить с Кыргызпатентом лицензионные договоры (соглашения) на право использования объектов авторского и смежных прав, а также осуществить государственную регистрацию в установленном порядке. Лицензионным соглашением предусматриваются размеры и сроки выплаты авторских вознаграждений, права и обязанности сторон, ответственность за неисполнение обязательств по выплате и другие условия. Плательщики обязаны представлять уполномоченному представителю Кыргызпатента для проверки надлежаще оформленный расчет подлежащих уплате сумм авторского вознаграждения, а также для просмотра все документы, связанные с расчетами по авторскому вознаграждению за публичное исполнение произведений; бесплатно допускать представителей Кыргызпатента на проводимые ими мероприятия для проведения контрольного прослушивания (просмотра).</w:t>
      </w:r>
    </w:p>
    <w:p>
      <w:pPr>
        <w:spacing w:after="60"/>
        <w:ind w:firstLine="567"/>
        <w:jc w:val="both"/>
      </w:pPr>
      <w:r>
        <w:rPr>
          <w:rFonts w:ascii="Arial" w:cs="Arial" w:eastAsia="Arial" w:hAnsi="Arial"/>
          <w:sz w:val="24"/>
          <w:szCs w:val="24"/>
        </w:rPr>
        <w:t xml:space="preserve">6. Сбор, распределение и выплата соответствующего вознаграждения авторам (их правопреемникам) и другим обладателям прав осуществляется Кыргызпатентом.</w:t>
      </w:r>
    </w:p>
    <w:p>
      <w:pPr>
        <w:spacing w:after="60"/>
        <w:ind w:firstLine="567"/>
        <w:jc w:val="both"/>
      </w:pPr>
      <w:r>
        <w:rPr>
          <w:rFonts w:ascii="Arial" w:cs="Arial" w:eastAsia="Arial" w:hAnsi="Arial"/>
          <w:sz w:val="24"/>
          <w:szCs w:val="24"/>
        </w:rPr>
        <w:t xml:space="preserve">7. Размер отчислений на покрытие расходов, связанных со сбором, начислением, распределением и выплатой авторского вознаграждения, определяется решением Совета авторов Кыргызпатента.</w:t>
      </w:r>
    </w:p>
    <w:p>
      <w:pPr>
        <w:spacing w:after="60"/>
        <w:ind w:firstLine="567"/>
        <w:jc w:val="both"/>
      </w:pPr>
      <w:r>
        <w:rPr>
          <w:rFonts w:ascii="Arial" w:cs="Arial" w:eastAsia="Arial" w:hAnsi="Arial"/>
          <w:sz w:val="24"/>
          <w:szCs w:val="24"/>
        </w:rPr>
        <w:t xml:space="preserve">8. Распределение вознаграждения между авторами, соавторами, исполнителями и прочими обладателями имущественных прав производится согласно Регламенту распределения авторского вознаграждения за использование объектов авторского права и смежных прав (далее - Регламент), разработанному и утвержденному Кыргызпатентом на основании законодательства и международных обязательств Кыргызской Республики.</w:t>
      </w:r>
    </w:p>
    <w:p>
      <w:pPr>
        <w:spacing w:after="120"/>
        <w:jc w:val="both"/>
      </w:pPr>
      <w:r>
        <w:rPr>
          <w:rFonts w:ascii="Arial" w:cs="Arial" w:eastAsia="Arial" w:hAnsi="Arial"/>
          <w:sz w:val="24"/>
          <w:szCs w:val="24"/>
        </w:rPr>
        <w:t xml:space="preserve">9. Организации, управляющие имущественными правами авторов на коллективной основе, вправе сохранять невостребованное вознаграждение, включая его в распределяемые суммы или обращая на другие цели в интересах представляемых им обладателей авторских и смежных прав, по истечении трех лет с даты его поступления на счет организации.</w:t>
      </w:r>
    </w:p>
    <w:p>
      <w:pPr>
        <w:spacing w:after="120"/>
        <w:jc w:val="both"/>
      </w:pPr>
      <w:r>
        <w:rPr>
          <w:rFonts w:ascii="Arial" w:cs="Arial" w:eastAsia="Arial" w:hAnsi="Arial"/>
          <w:sz w:val="24"/>
          <w:szCs w:val="24"/>
        </w:rPr>
        <w:t xml:space="preserve">Неистребованные средства, находящиеся на депозитном счете Кыргызпатента, по истечении трех лет подлежат перечислению в доход бюджета в соответствии с бюджетным законодательством.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_22icskzrwwiumjifvmh">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Незаконное использование объектов авторского права и смежных прав влечет за собой гражданскую, административную и уголовную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Раздел II
 </w:t>
      </w:r>
      <w:r>
        <w:rPr>
          <w:rFonts w:ascii="Arial" w:cs="Arial" w:eastAsia="Arial" w:hAnsi="Arial"/>
          <w:b/>
          <w:bCs/>
          <w:sz w:val="24"/>
          <w:szCs w:val="24"/>
        </w:rPr>
        <w:t xml:space="preserve">Порядок начисления и взимания авторского вознаграждения за публичный показ, публичное исполнение и сообщение для всеобщего сведения объектов авторского права и смежных прав</w:t>
      </w:r>
    </w:p>
    <w:p>
      <w:pPr>
        <w:spacing w:after="60"/>
        <w:ind w:firstLine="567"/>
        <w:jc w:val="both"/>
      </w:pPr>
      <w:r>
        <w:rPr>
          <w:rFonts w:ascii="Arial" w:cs="Arial" w:eastAsia="Arial" w:hAnsi="Arial"/>
          <w:sz w:val="24"/>
          <w:szCs w:val="24"/>
        </w:rPr>
        <w:t xml:space="preserve">11. Авторское вознаграждение начисляется во всех случаях, как при платном, так и при бесплатном для зрителей (посетителей) входе, независимо от того, звучат ли произведения и программы в живом исполнении или с помощью технических средств (телевизор, радиоприемник, музыкальный центр, магнитофон, и другие музыкальные воспроизводители).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amrrerrukk1mipwyalwa">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Авторское вознаграждение при публичном исполнении программ, состоящих из произведений, охраняемых и неохраняемых авторским правом (в том числе музыки, сопровождающей драматические произведения), начисляется по полной ставке, предусмотренной </w:t>
      </w:r>
      <w:hyperlink w:history="1" r:id="rIdfcwoboa9leqfkdmvombgk">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13. Распределение авторского вознаграждения за публичное исполнение произведений, указанных в пунктах 1-3 </w:t>
      </w:r>
      <w:hyperlink w:history="1" r:id="rId6szt9u1w5az62qc4f6aj1">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Положению, созданных соавторами как одно неразрывное целое или состоящих из частей, имеющих самостоятельное значение, производится на основании Регламента.</w:t>
      </w:r>
    </w:p>
    <w:p>
      <w:pPr>
        <w:spacing w:after="60"/>
        <w:ind w:firstLine="567"/>
        <w:jc w:val="both"/>
      </w:pPr>
      <w:r>
        <w:rPr>
          <w:rFonts w:ascii="Arial" w:cs="Arial" w:eastAsia="Arial" w:hAnsi="Arial"/>
          <w:sz w:val="24"/>
          <w:szCs w:val="24"/>
        </w:rPr>
        <w:t xml:space="preserve">Авторское вознаграждение за публичное исполнение начисляется только тем соавторам (их правопреемникам), авторское право которых охраняется. Размер начисляемого соавторам вознаграждения определяется на основании Регламента.</w:t>
      </w:r>
    </w:p>
    <w:p>
      <w:pPr>
        <w:spacing w:after="60"/>
        <w:ind w:firstLine="567"/>
        <w:jc w:val="both"/>
      </w:pPr>
      <w:r>
        <w:rPr>
          <w:rFonts w:ascii="Arial" w:cs="Arial" w:eastAsia="Arial" w:hAnsi="Arial"/>
          <w:sz w:val="24"/>
          <w:szCs w:val="24"/>
        </w:rPr>
        <w:t xml:space="preserve">14. Если в стоимость билетов на новогодние елочные представления включается стоимость подарков, то при начислении вознаграждения стоимость подарков исключается из сумм валового сбора за проданные билеты.</w:t>
      </w:r>
    </w:p>
    <w:p>
      <w:pPr>
        <w:spacing w:after="60"/>
        <w:ind w:firstLine="567"/>
        <w:jc w:val="both"/>
      </w:pPr>
      <w:r>
        <w:rPr>
          <w:rFonts w:ascii="Arial" w:cs="Arial" w:eastAsia="Arial" w:hAnsi="Arial"/>
          <w:sz w:val="24"/>
          <w:szCs w:val="24"/>
        </w:rPr>
        <w:t xml:space="preserve">15. При осуществлении публичного исполнения произведений с платным входом для зрителей (посетителей) плательщиком авторского вознаграждения является организатор мероприятия (концерта, спектакля). Организатор мероприятия должен иметь лицензионное соглашение на право использования произведений, которые будут публично исполняться.</w:t>
      </w:r>
    </w:p>
    <w:p>
      <w:pPr>
        <w:spacing w:after="60"/>
        <w:ind w:firstLine="567"/>
        <w:jc w:val="both"/>
      </w:pPr>
      <w:r>
        <w:rPr>
          <w:rFonts w:ascii="Arial" w:cs="Arial" w:eastAsia="Arial" w:hAnsi="Arial"/>
          <w:sz w:val="24"/>
          <w:szCs w:val="24"/>
        </w:rPr>
        <w:t xml:space="preserve">Авторское вознаграждение начисляется по ставкам, предусмотренным в </w:t>
      </w:r>
      <w:hyperlink w:history="1" r:id="rIdtpzilklapaemmmtinvr68">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16. При осуществлении публичного исполнения произведений с бесплатным входом для зрителей (посетителей), плательщиком авторского вознаграждения является организатор мероприятия (концерта, спектакля, шоу-программы и др.). Сумма авторского вознаграждения определяется на основе фиксированных ставок, предусмотренных в лицензионном договоре (соглашении).</w:t>
      </w:r>
    </w:p>
    <w:p>
      <w:pPr>
        <w:spacing w:after="60"/>
        <w:ind w:firstLine="567"/>
        <w:jc w:val="both"/>
      </w:pPr>
      <w:r>
        <w:rPr>
          <w:rFonts w:ascii="Arial" w:cs="Arial" w:eastAsia="Arial" w:hAnsi="Arial"/>
          <w:sz w:val="24"/>
          <w:szCs w:val="24"/>
        </w:rPr>
        <w:t xml:space="preserve">17. Если организатор мероприятия (концерта, спектакля, шоу-программы и др.) не является владельцем помещения (площадки), на которой осуществляется публичное исполнение, то владелец площадки при составлении договора об аренде помещения должен затребовать от организатора мероприятия копию лицензионного соглашения на право использования произведений. При предоставлении помещения без наличия у организатора мероприятия лицензионного соглашения, владелец помещения несет ответственность за невыплату авторского вознаграждения наравне с организатором мероприятия.</w:t>
      </w:r>
    </w:p>
    <w:p>
      <w:pPr>
        <w:spacing w:after="60"/>
        <w:ind w:firstLine="567"/>
        <w:jc w:val="both"/>
      </w:pPr>
      <w:r>
        <w:rPr>
          <w:rFonts w:ascii="Arial" w:cs="Arial" w:eastAsia="Arial" w:hAnsi="Arial"/>
          <w:sz w:val="24"/>
          <w:szCs w:val="24"/>
        </w:rPr>
        <w:t xml:space="preserve">18. При публичном показе, публичном исполнении или сообщении для всеобщего сведения в местах, открытых для свободного посещения, или в местах, указанных в подпунктах е), ж), з), и) пункта 4 раздела 1 настоящего Положения, где присутствует значительное количество лиц, не принадлежащих к обычному кругу семьи, плательщиком является владелец площадки (помещения, салона и т.д.). Сумма авторского вознаграждения определяется на основе фиксированных ставок.</w:t>
      </w:r>
    </w:p>
    <w:p>
      <w:pPr>
        <w:spacing w:after="60"/>
        <w:ind w:firstLine="567"/>
        <w:jc w:val="both"/>
      </w:pPr>
      <w:r>
        <w:rPr>
          <w:rFonts w:ascii="Arial" w:cs="Arial" w:eastAsia="Arial" w:hAnsi="Arial"/>
          <w:sz w:val="24"/>
          <w:szCs w:val="24"/>
        </w:rPr>
        <w:t xml:space="preserve">18-1. Размер ежемесячных фиксированных ставок авторского вознаграждения по подпунктам д), е) пункта 4 раздела 1 исчисляется по следующей формуле:</w:t>
      </w:r>
    </w:p>
    <w:p>
      <w:pPr>
        <w:spacing w:after="120" w:before="200"/>
        <w:ind w:firstLine="567"/>
        <w:jc w:val="both"/>
      </w:pPr>
      <w:r>
        <w:rPr>
          <w:rFonts w:ascii="Arial" w:cs="Arial" w:eastAsia="Arial" w:hAnsi="Arial"/>
          <w:sz w:val="24"/>
          <w:szCs w:val="24"/>
        </w:rPr>
        <w:t xml:space="preserve">С = Сб х Км х Кк х Ко х Кж, где:</w:t>
      </w:r>
    </w:p>
    <w:p>
      <w:pPr>
        <w:spacing w:after="60"/>
        <w:ind w:firstLine="567"/>
        <w:jc w:val="both"/>
      </w:pPr>
      <w:r>
        <w:rPr>
          <w:rFonts w:ascii="Arial" w:cs="Arial" w:eastAsia="Arial" w:hAnsi="Arial"/>
          <w:sz w:val="24"/>
          <w:szCs w:val="24"/>
        </w:rPr>
        <w:t xml:space="preserve">С - ставка авторского вознаграждения;</w:t>
      </w:r>
    </w:p>
    <w:p>
      <w:pPr>
        <w:spacing w:after="60"/>
        <w:ind w:firstLine="567"/>
        <w:jc w:val="both"/>
      </w:pPr>
      <w:r>
        <w:rPr>
          <w:rFonts w:ascii="Arial" w:cs="Arial" w:eastAsia="Arial" w:hAnsi="Arial"/>
          <w:sz w:val="24"/>
          <w:szCs w:val="24"/>
        </w:rPr>
        <w:t xml:space="preserve">Сб - базовая ставка;</w:t>
      </w:r>
    </w:p>
    <w:p>
      <w:pPr>
        <w:spacing w:after="60"/>
        <w:ind w:firstLine="567"/>
        <w:jc w:val="both"/>
      </w:pPr>
      <w:r>
        <w:rPr>
          <w:rFonts w:ascii="Arial" w:cs="Arial" w:eastAsia="Arial" w:hAnsi="Arial"/>
          <w:sz w:val="24"/>
          <w:szCs w:val="24"/>
        </w:rPr>
        <w:t xml:space="preserve">Км - коэффициент месторасположения плательщика;</w:t>
      </w:r>
    </w:p>
    <w:p>
      <w:pPr>
        <w:spacing w:after="60"/>
        <w:ind w:firstLine="567"/>
        <w:jc w:val="both"/>
      </w:pPr>
      <w:r>
        <w:rPr>
          <w:rFonts w:ascii="Arial" w:cs="Arial" w:eastAsia="Arial" w:hAnsi="Arial"/>
          <w:sz w:val="24"/>
          <w:szCs w:val="24"/>
        </w:rPr>
        <w:t xml:space="preserve">Кк - коэффициент классности;</w:t>
      </w:r>
    </w:p>
    <w:p>
      <w:pPr>
        <w:spacing w:after="60"/>
        <w:ind w:firstLine="567"/>
        <w:jc w:val="both"/>
      </w:pPr>
      <w:r>
        <w:rPr>
          <w:rFonts w:ascii="Arial" w:cs="Arial" w:eastAsia="Arial" w:hAnsi="Arial"/>
          <w:sz w:val="24"/>
          <w:szCs w:val="24"/>
        </w:rPr>
        <w:t xml:space="preserve">Ко - коэффициент за использование музыкальных произведений с помощью технических средств "караоке";</w:t>
      </w:r>
    </w:p>
    <w:p>
      <w:pPr>
        <w:spacing w:after="60"/>
        <w:ind w:firstLine="567"/>
        <w:jc w:val="both"/>
      </w:pPr>
      <w:r>
        <w:rPr>
          <w:rFonts w:ascii="Arial" w:cs="Arial" w:eastAsia="Arial" w:hAnsi="Arial"/>
          <w:sz w:val="24"/>
          <w:szCs w:val="24"/>
        </w:rPr>
        <w:t xml:space="preserve">Кж - коэффициент за использование музыкальных произведений в "живом" исполнении.</w:t>
      </w:r>
    </w:p>
    <w:p>
      <w:pPr>
        <w:spacing w:after="60"/>
        <w:ind w:firstLine="567"/>
        <w:jc w:val="both"/>
      </w:pPr>
      <w:r>
        <w:rPr>
          <w:rFonts w:ascii="Arial" w:cs="Arial" w:eastAsia="Arial" w:hAnsi="Arial"/>
          <w:sz w:val="24"/>
          <w:szCs w:val="24"/>
        </w:rPr>
        <w:t xml:space="preserve">Сб = РП х N / 100, где:</w:t>
      </w:r>
    </w:p>
    <w:p>
      <w:pPr>
        <w:spacing w:after="60"/>
        <w:ind w:firstLine="567"/>
        <w:jc w:val="both"/>
      </w:pPr>
      <w:r>
        <w:rPr>
          <w:rFonts w:ascii="Arial" w:cs="Arial" w:eastAsia="Arial" w:hAnsi="Arial"/>
          <w:sz w:val="24"/>
          <w:szCs w:val="24"/>
        </w:rPr>
        <w:t xml:space="preserve">РП - расчетный показатель, установленный законодательством Кыргызской Республики;</w:t>
      </w:r>
    </w:p>
    <w:p>
      <w:pPr>
        <w:spacing w:after="60"/>
        <w:ind w:firstLine="567"/>
        <w:jc w:val="both"/>
      </w:pPr>
      <w:r>
        <w:rPr>
          <w:rFonts w:ascii="Arial" w:cs="Arial" w:eastAsia="Arial" w:hAnsi="Arial"/>
          <w:sz w:val="24"/>
          <w:szCs w:val="24"/>
        </w:rPr>
        <w:t xml:space="preserve">N - количество посадочных мест.</w:t>
      </w:r>
    </w:p>
    <w:p>
      <w:pPr>
        <w:spacing w:after="60"/>
        <w:ind w:firstLine="567"/>
        <w:jc w:val="both"/>
      </w:pPr>
      <w:r>
        <w:rPr>
          <w:rFonts w:ascii="Arial" w:cs="Arial" w:eastAsia="Arial" w:hAnsi="Arial"/>
          <w:sz w:val="24"/>
          <w:szCs w:val="24"/>
        </w:rPr>
        <w:t xml:space="preserve">Коэффициент месторасположения плательщика (Км) присваивается плательщику в зависимости от его расположения в следующих районах:</w:t>
      </w:r>
    </w:p>
    <w:p>
      <w:pPr>
        <w:spacing w:after="60"/>
        <w:ind w:firstLine="567"/>
        <w:jc w:val="both"/>
      </w:pPr>
      <w:r>
        <w:rPr>
          <w:rFonts w:ascii="Arial" w:cs="Arial" w:eastAsia="Arial" w:hAnsi="Arial"/>
          <w:sz w:val="24"/>
          <w:szCs w:val="24"/>
        </w:rPr>
        <w:t xml:space="preserve">Км = 2,5 - города Бишкек и Ош;</w:t>
      </w:r>
    </w:p>
    <w:p>
      <w:pPr>
        <w:spacing w:after="60"/>
        <w:ind w:firstLine="567"/>
        <w:jc w:val="both"/>
      </w:pPr>
      <w:r>
        <w:rPr>
          <w:rFonts w:ascii="Arial" w:cs="Arial" w:eastAsia="Arial" w:hAnsi="Arial"/>
          <w:sz w:val="24"/>
          <w:szCs w:val="24"/>
        </w:rPr>
        <w:t xml:space="preserve">Км = 2 - иные города либо расположение вдоль трасс Аламудунского и Сокулукского районов Чуйской области;</w:t>
      </w:r>
    </w:p>
    <w:p>
      <w:pPr>
        <w:spacing w:after="60"/>
        <w:ind w:firstLine="567"/>
        <w:jc w:val="both"/>
      </w:pPr>
      <w:r>
        <w:rPr>
          <w:rFonts w:ascii="Arial" w:cs="Arial" w:eastAsia="Arial" w:hAnsi="Arial"/>
          <w:sz w:val="24"/>
          <w:szCs w:val="24"/>
        </w:rPr>
        <w:t xml:space="preserve">Км = 1,5 - остальные населенные пункты Кыргызской Республики.</w:t>
      </w:r>
    </w:p>
    <w:p>
      <w:pPr>
        <w:spacing w:after="60"/>
        <w:ind w:firstLine="567"/>
        <w:jc w:val="both"/>
      </w:pPr>
      <w:r>
        <w:rPr>
          <w:rFonts w:ascii="Arial" w:cs="Arial" w:eastAsia="Arial" w:hAnsi="Arial"/>
          <w:sz w:val="24"/>
          <w:szCs w:val="24"/>
        </w:rPr>
        <w:t xml:space="preserve">Коэффициент классности обслуживания (Кк) исчисляется по средней стоимости блюд в меню плательщика:</w:t>
      </w:r>
    </w:p>
    <w:p>
      <w:pPr>
        <w:spacing w:after="60"/>
        <w:ind w:firstLine="567"/>
        <w:jc w:val="both"/>
      </w:pPr>
      <w:r>
        <w:rPr>
          <w:rFonts w:ascii="Arial" w:cs="Arial" w:eastAsia="Arial" w:hAnsi="Arial"/>
          <w:sz w:val="24"/>
          <w:szCs w:val="24"/>
        </w:rPr>
        <w:t xml:space="preserve">Кк = 4 - наивысший уровень обслуживания (средняя стоимость блюд свыше 1,6 РП);</w:t>
      </w:r>
    </w:p>
    <w:p>
      <w:pPr>
        <w:spacing w:after="60"/>
        <w:ind w:firstLine="567"/>
        <w:jc w:val="both"/>
      </w:pPr>
      <w:r>
        <w:rPr>
          <w:rFonts w:ascii="Arial" w:cs="Arial" w:eastAsia="Arial" w:hAnsi="Arial"/>
          <w:sz w:val="24"/>
          <w:szCs w:val="24"/>
        </w:rPr>
        <w:t xml:space="preserve">Кк = 3 - высший уровень обслуживания (от 1 РП до 1,6 РП);</w:t>
      </w:r>
    </w:p>
    <w:p>
      <w:pPr>
        <w:spacing w:after="60"/>
        <w:ind w:firstLine="567"/>
        <w:jc w:val="both"/>
      </w:pPr>
      <w:r>
        <w:rPr>
          <w:rFonts w:ascii="Arial" w:cs="Arial" w:eastAsia="Arial" w:hAnsi="Arial"/>
          <w:sz w:val="24"/>
          <w:szCs w:val="24"/>
        </w:rPr>
        <w:t xml:space="preserve">Кк = 2 - средний уровень обслуживания (от 0,4 РП до 1 РП);</w:t>
      </w:r>
    </w:p>
    <w:p>
      <w:pPr>
        <w:spacing w:after="60"/>
        <w:ind w:firstLine="567"/>
        <w:jc w:val="both"/>
      </w:pPr>
      <w:r>
        <w:rPr>
          <w:rFonts w:ascii="Arial" w:cs="Arial" w:eastAsia="Arial" w:hAnsi="Arial"/>
          <w:sz w:val="24"/>
          <w:szCs w:val="24"/>
        </w:rPr>
        <w:t xml:space="preserve">Кк = 1 - низший уровень обслуживания (от 0,4 РП), где РП - установленный законодательством расчетный показатель.</w:t>
      </w:r>
    </w:p>
    <w:p>
      <w:pPr>
        <w:spacing w:after="60"/>
        <w:ind w:firstLine="567"/>
        <w:jc w:val="both"/>
      </w:pPr>
      <w:r>
        <w:rPr>
          <w:rFonts w:ascii="Arial" w:cs="Arial" w:eastAsia="Arial" w:hAnsi="Arial"/>
          <w:sz w:val="24"/>
          <w:szCs w:val="24"/>
        </w:rPr>
        <w:t xml:space="preserve">Коэффициент за использование музыкальных произведений с помощью технических средств "караоке" (Ко):</w:t>
      </w:r>
    </w:p>
    <w:p>
      <w:pPr>
        <w:spacing w:after="60"/>
        <w:ind w:firstLine="567"/>
        <w:jc w:val="both"/>
      </w:pPr>
      <w:r>
        <w:rPr>
          <w:rFonts w:ascii="Arial" w:cs="Arial" w:eastAsia="Arial" w:hAnsi="Arial"/>
          <w:sz w:val="24"/>
          <w:szCs w:val="24"/>
        </w:rPr>
        <w:t xml:space="preserve">Ко = 1 - в случае неиспользования "караоке";</w:t>
      </w:r>
    </w:p>
    <w:p>
      <w:pPr>
        <w:spacing w:after="60"/>
        <w:ind w:firstLine="567"/>
        <w:jc w:val="both"/>
      </w:pPr>
      <w:r>
        <w:rPr>
          <w:rFonts w:ascii="Arial" w:cs="Arial" w:eastAsia="Arial" w:hAnsi="Arial"/>
          <w:sz w:val="24"/>
          <w:szCs w:val="24"/>
        </w:rPr>
        <w:t xml:space="preserve">Ко = 2 - в случае использования "караоке".</w:t>
      </w:r>
    </w:p>
    <w:p>
      <w:pPr>
        <w:spacing w:after="60"/>
        <w:ind w:firstLine="567"/>
        <w:jc w:val="both"/>
      </w:pPr>
      <w:r>
        <w:rPr>
          <w:rFonts w:ascii="Arial" w:cs="Arial" w:eastAsia="Arial" w:hAnsi="Arial"/>
          <w:sz w:val="24"/>
          <w:szCs w:val="24"/>
        </w:rPr>
        <w:t xml:space="preserve">Коэффициент за использование музыкальных произведений в "живом" исполнении (Кж):</w:t>
      </w:r>
    </w:p>
    <w:p>
      <w:pPr>
        <w:spacing w:after="60"/>
        <w:ind w:firstLine="567"/>
        <w:jc w:val="both"/>
      </w:pPr>
      <w:r>
        <w:rPr>
          <w:rFonts w:ascii="Arial" w:cs="Arial" w:eastAsia="Arial" w:hAnsi="Arial"/>
          <w:sz w:val="24"/>
          <w:szCs w:val="24"/>
        </w:rPr>
        <w:t xml:space="preserve">Кж = 1 - в случае использования музыкальных произведений с помощью технических средств;</w:t>
      </w:r>
    </w:p>
    <w:p>
      <w:pPr>
        <w:spacing w:after="60"/>
        <w:ind w:firstLine="567"/>
        <w:jc w:val="both"/>
      </w:pPr>
      <w:r>
        <w:rPr>
          <w:rFonts w:ascii="Arial" w:cs="Arial" w:eastAsia="Arial" w:hAnsi="Arial"/>
          <w:sz w:val="24"/>
          <w:szCs w:val="24"/>
        </w:rPr>
        <w:t xml:space="preserve">Кж = 1,5 - в случае использования музыкальных произведений в "живом" исполнении.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lax5mvpdctcz84lgusqo">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18-2. Размер ежемесячных фиксированных ставок авторского вознаграждения по подпункту ж) пункта 4 раздела 1 исчисляется по следующей формуле:</w:t>
      </w:r>
    </w:p>
    <w:p>
      <w:pPr>
        <w:spacing w:after="120" w:before="120"/>
        <w:ind w:firstLine="567"/>
        <w:jc w:val="both"/>
      </w:pPr>
      <w:r>
        <w:rPr>
          <w:rFonts w:ascii="Arial" w:cs="Arial" w:eastAsia="Arial" w:hAnsi="Arial"/>
          <w:sz w:val="24"/>
          <w:szCs w:val="24"/>
        </w:rPr>
        <w:t xml:space="preserve">С = Сб х Км, где:</w:t>
      </w:r>
    </w:p>
    <w:p>
      <w:pPr>
        <w:spacing w:after="60"/>
        <w:ind w:firstLine="567"/>
        <w:jc w:val="both"/>
      </w:pPr>
      <w:r>
        <w:rPr>
          <w:rFonts w:ascii="Arial" w:cs="Arial" w:eastAsia="Arial" w:hAnsi="Arial"/>
          <w:sz w:val="24"/>
          <w:szCs w:val="24"/>
        </w:rPr>
        <w:t xml:space="preserve">С - ставка авторского вознаграждения;</w:t>
      </w:r>
    </w:p>
    <w:p>
      <w:pPr>
        <w:spacing w:after="60"/>
        <w:ind w:firstLine="567"/>
        <w:jc w:val="both"/>
      </w:pPr>
      <w:r>
        <w:rPr>
          <w:rFonts w:ascii="Arial" w:cs="Arial" w:eastAsia="Arial" w:hAnsi="Arial"/>
          <w:sz w:val="24"/>
          <w:szCs w:val="24"/>
        </w:rPr>
        <w:t xml:space="preserve">Сб - базовая ставка;</w:t>
      </w:r>
    </w:p>
    <w:p>
      <w:pPr>
        <w:spacing w:after="60"/>
        <w:ind w:firstLine="567"/>
        <w:jc w:val="both"/>
      </w:pPr>
      <w:r>
        <w:rPr>
          <w:rFonts w:ascii="Arial" w:cs="Arial" w:eastAsia="Arial" w:hAnsi="Arial"/>
          <w:sz w:val="24"/>
          <w:szCs w:val="24"/>
        </w:rPr>
        <w:t xml:space="preserve">Км - коэффициент месторасположения плательщика.</w:t>
      </w:r>
    </w:p>
    <w:p>
      <w:pPr>
        <w:spacing w:after="120" w:before="120"/>
        <w:ind w:firstLine="567"/>
        <w:jc w:val="both"/>
      </w:pPr>
      <w:r>
        <w:rPr>
          <w:rFonts w:ascii="Arial" w:cs="Arial" w:eastAsia="Arial" w:hAnsi="Arial"/>
          <w:sz w:val="24"/>
          <w:szCs w:val="24"/>
        </w:rPr>
        <w:t xml:space="preserve">Сб = РП х Р / 100, где:</w:t>
      </w:r>
    </w:p>
    <w:p>
      <w:pPr>
        <w:spacing w:after="60"/>
        <w:ind w:firstLine="567"/>
        <w:jc w:val="both"/>
      </w:pPr>
      <w:r>
        <w:rPr>
          <w:rFonts w:ascii="Arial" w:cs="Arial" w:eastAsia="Arial" w:hAnsi="Arial"/>
          <w:sz w:val="24"/>
          <w:szCs w:val="24"/>
        </w:rPr>
        <w:t xml:space="preserve">РП - расчетный показатель, установленный законодательством Кыргызской Республики;</w:t>
      </w:r>
    </w:p>
    <w:p>
      <w:pPr>
        <w:spacing w:after="60"/>
        <w:ind w:firstLine="567"/>
        <w:jc w:val="both"/>
      </w:pPr>
      <w:r>
        <w:rPr>
          <w:rFonts w:ascii="Arial" w:cs="Arial" w:eastAsia="Arial" w:hAnsi="Arial"/>
          <w:sz w:val="24"/>
          <w:szCs w:val="24"/>
        </w:rPr>
        <w:t xml:space="preserve">Р - торговая площадь, где используются музыкальные произведения (кв. метр).</w:t>
      </w:r>
    </w:p>
    <w:p>
      <w:pPr>
        <w:spacing w:after="60"/>
        <w:ind w:firstLine="567"/>
        <w:jc w:val="both"/>
      </w:pPr>
      <w:r>
        <w:rPr>
          <w:rFonts w:ascii="Arial" w:cs="Arial" w:eastAsia="Arial" w:hAnsi="Arial"/>
          <w:sz w:val="24"/>
          <w:szCs w:val="24"/>
        </w:rPr>
        <w:t xml:space="preserve">Коэффициент месторасположения плательщика (Км) присваивается плательщику в зависимости от его расположения в следующих районах:</w:t>
      </w:r>
    </w:p>
    <w:p>
      <w:pPr>
        <w:spacing w:after="60"/>
        <w:ind w:firstLine="567"/>
        <w:jc w:val="both"/>
      </w:pPr>
      <w:r>
        <w:rPr>
          <w:rFonts w:ascii="Arial" w:cs="Arial" w:eastAsia="Arial" w:hAnsi="Arial"/>
          <w:sz w:val="24"/>
          <w:szCs w:val="24"/>
        </w:rPr>
        <w:t xml:space="preserve">Км = 6 - города Бишкек и Ош;</w:t>
      </w:r>
    </w:p>
    <w:p>
      <w:pPr>
        <w:spacing w:after="60"/>
        <w:ind w:firstLine="567"/>
        <w:jc w:val="both"/>
      </w:pPr>
      <w:r>
        <w:rPr>
          <w:rFonts w:ascii="Arial" w:cs="Arial" w:eastAsia="Arial" w:hAnsi="Arial"/>
          <w:sz w:val="24"/>
          <w:szCs w:val="24"/>
        </w:rPr>
        <w:t xml:space="preserve">Км = 2 - города Чолпон-Ата и Каракол Иссык-Кульской области; город Джалал-Абад Джалал-Абадской области;</w:t>
      </w:r>
    </w:p>
    <w:p>
      <w:pPr>
        <w:spacing w:after="60"/>
        <w:ind w:firstLine="567"/>
        <w:jc w:val="both"/>
      </w:pPr>
      <w:r>
        <w:rPr>
          <w:rFonts w:ascii="Arial" w:cs="Arial" w:eastAsia="Arial" w:hAnsi="Arial"/>
          <w:sz w:val="24"/>
          <w:szCs w:val="24"/>
        </w:rPr>
        <w:t xml:space="preserve">Км = 1 - остальные населенные пункты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qbhqexwcdbcwnk4i5z6">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18-3 Размер ежемесячных фиксированных ставок авторского вознаграждения согласно подпункту з) пункта 4 раздела I исчисляется по следующей формуле:</w:t>
      </w:r>
    </w:p>
    <w:p>
      <w:pPr>
        <w:spacing w:after="60"/>
        <w:ind w:firstLine="567"/>
        <w:jc w:val="both"/>
      </w:pPr>
      <w:r>
        <w:rPr>
          <w:rFonts w:ascii="Arial" w:cs="Arial" w:eastAsia="Arial" w:hAnsi="Arial"/>
          <w:sz w:val="24"/>
          <w:szCs w:val="24"/>
        </w:rPr>
        <w:t xml:space="preserve">С = Сб х Км х Кк, где:</w:t>
      </w:r>
    </w:p>
    <w:p>
      <w:pPr>
        <w:spacing w:after="60"/>
        <w:ind w:firstLine="567"/>
        <w:jc w:val="both"/>
      </w:pPr>
      <w:r>
        <w:rPr>
          <w:rFonts w:ascii="Arial" w:cs="Arial" w:eastAsia="Arial" w:hAnsi="Arial"/>
          <w:sz w:val="24"/>
          <w:szCs w:val="24"/>
        </w:rPr>
        <w:t xml:space="preserve">С - ставка авторского вознаграждения;</w:t>
      </w:r>
    </w:p>
    <w:p>
      <w:pPr>
        <w:spacing w:after="60"/>
        <w:ind w:firstLine="567"/>
        <w:jc w:val="both"/>
      </w:pPr>
      <w:r>
        <w:rPr>
          <w:rFonts w:ascii="Arial" w:cs="Arial" w:eastAsia="Arial" w:hAnsi="Arial"/>
          <w:sz w:val="24"/>
          <w:szCs w:val="24"/>
        </w:rPr>
        <w:t xml:space="preserve">Сб - базовая ставка;</w:t>
      </w:r>
    </w:p>
    <w:p>
      <w:pPr>
        <w:spacing w:after="60"/>
        <w:ind w:firstLine="567"/>
        <w:jc w:val="both"/>
      </w:pPr>
      <w:r>
        <w:rPr>
          <w:rFonts w:ascii="Arial" w:cs="Arial" w:eastAsia="Arial" w:hAnsi="Arial"/>
          <w:sz w:val="24"/>
          <w:szCs w:val="24"/>
        </w:rPr>
        <w:t xml:space="preserve">Км - коэффициент месторасположения плательщика;</w:t>
      </w:r>
    </w:p>
    <w:p>
      <w:pPr>
        <w:spacing w:after="60"/>
        <w:ind w:firstLine="567"/>
        <w:jc w:val="both"/>
      </w:pPr>
      <w:r>
        <w:rPr>
          <w:rFonts w:ascii="Arial" w:cs="Arial" w:eastAsia="Arial" w:hAnsi="Arial"/>
          <w:sz w:val="24"/>
          <w:szCs w:val="24"/>
        </w:rPr>
        <w:t xml:space="preserve">Кк - коэффициент классности обслуживания.</w:t>
      </w:r>
    </w:p>
    <w:p>
      <w:pPr>
        <w:spacing w:after="60"/>
        <w:ind w:firstLine="567"/>
        <w:jc w:val="both"/>
      </w:pPr>
      <w:r>
        <w:rPr>
          <w:rFonts w:ascii="Arial" w:cs="Arial" w:eastAsia="Arial" w:hAnsi="Arial"/>
          <w:sz w:val="24"/>
          <w:szCs w:val="24"/>
        </w:rPr>
        <w:t xml:space="preserve">Сб = РП х N / 100, где:</w:t>
      </w:r>
    </w:p>
    <w:p>
      <w:pPr>
        <w:spacing w:after="60"/>
        <w:ind w:firstLine="567"/>
        <w:jc w:val="both"/>
      </w:pPr>
      <w:r>
        <w:rPr>
          <w:rFonts w:ascii="Arial" w:cs="Arial" w:eastAsia="Arial" w:hAnsi="Arial"/>
          <w:sz w:val="24"/>
          <w:szCs w:val="24"/>
        </w:rPr>
        <w:t xml:space="preserve">РП - расчетный показатель, установленный законодательством Кыргызской Республики;</w:t>
      </w:r>
    </w:p>
    <w:p>
      <w:pPr>
        <w:spacing w:after="60"/>
        <w:ind w:firstLine="567"/>
        <w:jc w:val="both"/>
      </w:pPr>
      <w:r>
        <w:rPr>
          <w:rFonts w:ascii="Arial" w:cs="Arial" w:eastAsia="Arial" w:hAnsi="Arial"/>
          <w:sz w:val="24"/>
          <w:szCs w:val="24"/>
        </w:rPr>
        <w:t xml:space="preserve">N - количество номеров в гостиницах (домах отдыхах, пансионатах, санаториях, курортах), где имеются телевизоры.</w:t>
      </w:r>
    </w:p>
    <w:p>
      <w:pPr>
        <w:spacing w:after="60"/>
        <w:ind w:firstLine="567"/>
        <w:jc w:val="both"/>
      </w:pPr>
      <w:r>
        <w:rPr>
          <w:rFonts w:ascii="Arial" w:cs="Arial" w:eastAsia="Arial" w:hAnsi="Arial"/>
          <w:sz w:val="24"/>
          <w:szCs w:val="24"/>
        </w:rPr>
        <w:t xml:space="preserve">Коэффициент месторасположения плательщика (Км) присваивается плательщику в зависимости от его расположения в следующих районах:</w:t>
      </w:r>
    </w:p>
    <w:p>
      <w:pPr>
        <w:spacing w:after="60"/>
        <w:ind w:firstLine="567"/>
        <w:jc w:val="both"/>
      </w:pPr>
      <w:r>
        <w:rPr>
          <w:rFonts w:ascii="Arial" w:cs="Arial" w:eastAsia="Arial" w:hAnsi="Arial"/>
          <w:sz w:val="24"/>
          <w:szCs w:val="24"/>
        </w:rPr>
        <w:t xml:space="preserve">Км = 20 - города Бишкек и Ош;</w:t>
      </w:r>
    </w:p>
    <w:p>
      <w:pPr>
        <w:spacing w:after="60"/>
        <w:ind w:firstLine="567"/>
        <w:jc w:val="both"/>
      </w:pPr>
      <w:r>
        <w:rPr>
          <w:rFonts w:ascii="Arial" w:cs="Arial" w:eastAsia="Arial" w:hAnsi="Arial"/>
          <w:sz w:val="24"/>
          <w:szCs w:val="24"/>
        </w:rPr>
        <w:t xml:space="preserve">Км = 10 - города Чолпон-Ата и Каракол Иссык-Кульской области; город Джалал-Абад Джалал-Абадской области;</w:t>
      </w:r>
    </w:p>
    <w:p>
      <w:pPr>
        <w:spacing w:after="60"/>
        <w:ind w:firstLine="567"/>
        <w:jc w:val="both"/>
      </w:pPr>
      <w:r>
        <w:rPr>
          <w:rFonts w:ascii="Arial" w:cs="Arial" w:eastAsia="Arial" w:hAnsi="Arial"/>
          <w:sz w:val="24"/>
          <w:szCs w:val="24"/>
        </w:rPr>
        <w:t xml:space="preserve">Км = 5 - остальные населенные пункты Кыргызской Республики.</w:t>
      </w:r>
    </w:p>
    <w:p>
      <w:pPr>
        <w:spacing w:after="60"/>
        <w:ind w:firstLine="567"/>
        <w:jc w:val="both"/>
      </w:pPr>
      <w:r>
        <w:rPr>
          <w:rFonts w:ascii="Arial" w:cs="Arial" w:eastAsia="Arial" w:hAnsi="Arial"/>
          <w:sz w:val="24"/>
          <w:szCs w:val="24"/>
        </w:rPr>
        <w:t xml:space="preserve">Коэффициент классности обслуживания (Кк) исчисляется по средней стоимости номеров в гостинице (домах отдыхах, пансионатах, санаториях, курортах):</w:t>
      </w:r>
    </w:p>
    <w:p>
      <w:pPr>
        <w:spacing w:after="60"/>
        <w:ind w:firstLine="567"/>
        <w:jc w:val="both"/>
      </w:pPr>
      <w:r>
        <w:rPr>
          <w:rFonts w:ascii="Arial" w:cs="Arial" w:eastAsia="Arial" w:hAnsi="Arial"/>
          <w:sz w:val="24"/>
          <w:szCs w:val="24"/>
        </w:rPr>
        <w:t xml:space="preserve">Кк = 5 - наивысший уровень обслуживания (средняя стоимость номеров свыше 150 РП);</w:t>
      </w:r>
    </w:p>
    <w:p>
      <w:pPr>
        <w:spacing w:after="60"/>
        <w:ind w:firstLine="567"/>
        <w:jc w:val="both"/>
      </w:pPr>
      <w:r>
        <w:rPr>
          <w:rFonts w:ascii="Arial" w:cs="Arial" w:eastAsia="Arial" w:hAnsi="Arial"/>
          <w:sz w:val="24"/>
          <w:szCs w:val="24"/>
        </w:rPr>
        <w:t xml:space="preserve">Кк = 4 - высший уровень обслуживания (от 80 РП до 150 РП);</w:t>
      </w:r>
    </w:p>
    <w:p>
      <w:pPr>
        <w:spacing w:after="60"/>
        <w:ind w:firstLine="567"/>
        <w:jc w:val="both"/>
      </w:pPr>
      <w:r>
        <w:rPr>
          <w:rFonts w:ascii="Arial" w:cs="Arial" w:eastAsia="Arial" w:hAnsi="Arial"/>
          <w:sz w:val="24"/>
          <w:szCs w:val="24"/>
        </w:rPr>
        <w:t xml:space="preserve">Кк = 2 - средний уровень обслуживания (от 20 РП до 80 РП);</w:t>
      </w:r>
    </w:p>
    <w:p>
      <w:pPr>
        <w:spacing w:after="60"/>
        <w:ind w:firstLine="567"/>
        <w:jc w:val="both"/>
      </w:pPr>
      <w:r>
        <w:rPr>
          <w:rFonts w:ascii="Arial" w:cs="Arial" w:eastAsia="Arial" w:hAnsi="Arial"/>
          <w:sz w:val="24"/>
          <w:szCs w:val="24"/>
        </w:rPr>
        <w:t xml:space="preserve">Кк = 1 - низший уровень обслуживания (до 20 РП), где РП - установленный законодательством расчетный показатель.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2g0vmpvnze7uyfjmyyo8">
        <w:r>
          <w:rPr>
            <w:rFonts w:ascii="Arial" w:cs="Arial" w:eastAsia="Arial" w:hAnsi="Arial"/>
            <w:i/>
            <w:iCs/>
            <w:color w:val="1D4ED8"/>
            <w:sz w:val="24"/>
            <w:szCs w:val="24"/>
            <w:u w:val="single"/>
          </w:rPr>
          <w:t xml:space="preserve">4 марта 2019 года № 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18-4. Размер ежемесячных фиксированных ставок авторского вознаграждения согласно подпункту и) пункта 4 раздела I исчисляется по следующей формуле:</w:t>
      </w:r>
    </w:p>
    <w:p>
      <w:pPr>
        <w:spacing w:after="60"/>
        <w:ind w:firstLine="567"/>
        <w:jc w:val="both"/>
      </w:pPr>
      <w:r>
        <w:rPr>
          <w:rFonts w:ascii="Arial" w:cs="Arial" w:eastAsia="Arial" w:hAnsi="Arial"/>
          <w:sz w:val="24"/>
          <w:szCs w:val="24"/>
        </w:rPr>
        <w:t xml:space="preserve">С = Сб х Км х Кк, где:</w:t>
      </w:r>
    </w:p>
    <w:p>
      <w:pPr>
        <w:spacing w:after="60"/>
        <w:ind w:firstLine="567"/>
        <w:jc w:val="both"/>
      </w:pPr>
      <w:r>
        <w:rPr>
          <w:rFonts w:ascii="Arial" w:cs="Arial" w:eastAsia="Arial" w:hAnsi="Arial"/>
          <w:sz w:val="24"/>
          <w:szCs w:val="24"/>
        </w:rPr>
        <w:t xml:space="preserve">С - ставка авторского вознаграждения;</w:t>
      </w:r>
    </w:p>
    <w:p>
      <w:pPr>
        <w:spacing w:after="60"/>
        <w:ind w:firstLine="567"/>
        <w:jc w:val="both"/>
      </w:pPr>
      <w:r>
        <w:rPr>
          <w:rFonts w:ascii="Arial" w:cs="Arial" w:eastAsia="Arial" w:hAnsi="Arial"/>
          <w:sz w:val="24"/>
          <w:szCs w:val="24"/>
        </w:rPr>
        <w:t xml:space="preserve">Сб - базовая ставка;</w:t>
      </w:r>
    </w:p>
    <w:p>
      <w:pPr>
        <w:spacing w:after="60"/>
        <w:ind w:firstLine="567"/>
        <w:jc w:val="both"/>
      </w:pPr>
      <w:r>
        <w:rPr>
          <w:rFonts w:ascii="Arial" w:cs="Arial" w:eastAsia="Arial" w:hAnsi="Arial"/>
          <w:sz w:val="24"/>
          <w:szCs w:val="24"/>
        </w:rPr>
        <w:t xml:space="preserve">Км - коэффициент месторасположения плательщика;</w:t>
      </w:r>
    </w:p>
    <w:p>
      <w:pPr>
        <w:spacing w:after="60"/>
        <w:ind w:firstLine="567"/>
        <w:jc w:val="both"/>
      </w:pPr>
      <w:r>
        <w:rPr>
          <w:rFonts w:ascii="Arial" w:cs="Arial" w:eastAsia="Arial" w:hAnsi="Arial"/>
          <w:sz w:val="24"/>
          <w:szCs w:val="24"/>
        </w:rPr>
        <w:t xml:space="preserve">Кк - коэффициент классности обслуживания.</w:t>
      </w:r>
    </w:p>
    <w:p>
      <w:pPr>
        <w:spacing w:after="60"/>
        <w:ind w:firstLine="567"/>
        <w:jc w:val="both"/>
      </w:pPr>
      <w:r>
        <w:rPr>
          <w:rFonts w:ascii="Arial" w:cs="Arial" w:eastAsia="Arial" w:hAnsi="Arial"/>
          <w:sz w:val="24"/>
          <w:szCs w:val="24"/>
        </w:rPr>
        <w:t xml:space="preserve">Сб = РП х Р / 100, где:</w:t>
      </w:r>
    </w:p>
    <w:p>
      <w:pPr>
        <w:spacing w:after="60"/>
        <w:ind w:firstLine="567"/>
        <w:jc w:val="both"/>
      </w:pPr>
      <w:r>
        <w:rPr>
          <w:rFonts w:ascii="Arial" w:cs="Arial" w:eastAsia="Arial" w:hAnsi="Arial"/>
          <w:sz w:val="24"/>
          <w:szCs w:val="24"/>
        </w:rPr>
        <w:t xml:space="preserve">РП - расчетный показатель, установленный законодательством Кыргызской Республики;</w:t>
      </w:r>
    </w:p>
    <w:p>
      <w:pPr>
        <w:spacing w:after="60"/>
        <w:ind w:firstLine="567"/>
        <w:jc w:val="both"/>
      </w:pPr>
      <w:r>
        <w:rPr>
          <w:rFonts w:ascii="Arial" w:cs="Arial" w:eastAsia="Arial" w:hAnsi="Arial"/>
          <w:sz w:val="24"/>
          <w:szCs w:val="24"/>
        </w:rPr>
        <w:t xml:space="preserve">P</w:t>
      </w:r>
      <w:r>
        <w:rPr>
          <w:rFonts w:ascii="Arial" w:cs="Arial" w:eastAsia="Arial" w:hAnsi="Arial"/>
          <w:sz w:val="24"/>
          <w:szCs w:val="24"/>
        </w:rPr>
        <w:t xml:space="preserve"> - помещения предприятий сферы услуг, где используются музыкальные произведения (кв. метр).</w:t>
      </w:r>
    </w:p>
    <w:p>
      <w:pPr>
        <w:spacing w:after="60"/>
        <w:ind w:firstLine="567"/>
        <w:jc w:val="both"/>
      </w:pPr>
      <w:r>
        <w:rPr>
          <w:rFonts w:ascii="Arial" w:cs="Arial" w:eastAsia="Arial" w:hAnsi="Arial"/>
          <w:sz w:val="24"/>
          <w:szCs w:val="24"/>
        </w:rPr>
        <w:t xml:space="preserve">Коэффициент месторасположения плательщика (Км) присваивается плательщику в зависимости от его расположения в следующих районах:</w:t>
      </w:r>
    </w:p>
    <w:p>
      <w:pPr>
        <w:spacing w:after="60"/>
        <w:ind w:firstLine="567"/>
        <w:jc w:val="both"/>
      </w:pPr>
      <w:r>
        <w:rPr>
          <w:rFonts w:ascii="Arial" w:cs="Arial" w:eastAsia="Arial" w:hAnsi="Arial"/>
          <w:sz w:val="24"/>
          <w:szCs w:val="24"/>
        </w:rPr>
        <w:t xml:space="preserve">Км = 2 - города Бишкек и Ош;</w:t>
      </w:r>
    </w:p>
    <w:p>
      <w:pPr>
        <w:spacing w:after="60"/>
        <w:ind w:firstLine="567"/>
        <w:jc w:val="both"/>
      </w:pPr>
      <w:r>
        <w:rPr>
          <w:rFonts w:ascii="Arial" w:cs="Arial" w:eastAsia="Arial" w:hAnsi="Arial"/>
          <w:sz w:val="24"/>
          <w:szCs w:val="24"/>
        </w:rPr>
        <w:t xml:space="preserve">Км = 1 - города Чолпон-Ата и Каракол Иссык-Кульской области; город Джалал-Абад Джалал-Абадской области;</w:t>
      </w:r>
    </w:p>
    <w:p>
      <w:pPr>
        <w:spacing w:after="60"/>
        <w:ind w:firstLine="567"/>
        <w:jc w:val="both"/>
      </w:pPr>
      <w:r>
        <w:rPr>
          <w:rFonts w:ascii="Arial" w:cs="Arial" w:eastAsia="Arial" w:hAnsi="Arial"/>
          <w:sz w:val="24"/>
          <w:szCs w:val="24"/>
        </w:rPr>
        <w:t xml:space="preserve">Км = 0,5 - остальные населенные пункты Кыргызской Республики.</w:t>
      </w:r>
    </w:p>
    <w:p>
      <w:pPr>
        <w:spacing w:after="60"/>
        <w:ind w:firstLine="567"/>
        <w:jc w:val="both"/>
      </w:pPr>
      <w:r>
        <w:rPr>
          <w:rFonts w:ascii="Arial" w:cs="Arial" w:eastAsia="Arial" w:hAnsi="Arial"/>
          <w:sz w:val="24"/>
          <w:szCs w:val="24"/>
        </w:rPr>
        <w:t xml:space="preserve">Коэффициент классности обслуживания (Кк) исчисляется по средней стоимости услуг в каталоге плательщика:</w:t>
      </w:r>
    </w:p>
    <w:p>
      <w:pPr>
        <w:spacing w:after="60"/>
        <w:ind w:firstLine="567"/>
        <w:jc w:val="both"/>
      </w:pPr>
      <w:r>
        <w:rPr>
          <w:rFonts w:ascii="Arial" w:cs="Arial" w:eastAsia="Arial" w:hAnsi="Arial"/>
          <w:sz w:val="24"/>
          <w:szCs w:val="24"/>
        </w:rPr>
        <w:t xml:space="preserve">Кк = 5 - наивысший уровень обслуживания (средняя стоимость услуг свыше 8 РП);</w:t>
      </w:r>
    </w:p>
    <w:p>
      <w:pPr>
        <w:spacing w:after="60"/>
        <w:ind w:firstLine="567"/>
        <w:jc w:val="both"/>
      </w:pPr>
      <w:r>
        <w:rPr>
          <w:rFonts w:ascii="Arial" w:cs="Arial" w:eastAsia="Arial" w:hAnsi="Arial"/>
          <w:sz w:val="24"/>
          <w:szCs w:val="24"/>
        </w:rPr>
        <w:t xml:space="preserve">Кк = 4 - высший уровень обслуживания (от 5 РП до 8 РП);</w:t>
      </w:r>
    </w:p>
    <w:p>
      <w:pPr>
        <w:spacing w:after="60"/>
        <w:ind w:firstLine="567"/>
        <w:jc w:val="both"/>
      </w:pPr>
      <w:r>
        <w:rPr>
          <w:rFonts w:ascii="Arial" w:cs="Arial" w:eastAsia="Arial" w:hAnsi="Arial"/>
          <w:sz w:val="24"/>
          <w:szCs w:val="24"/>
        </w:rPr>
        <w:t xml:space="preserve">Кк = 2 - средний уровень обслуживания (от 3 РП до 5 РП);</w:t>
      </w:r>
    </w:p>
    <w:p>
      <w:pPr>
        <w:spacing w:after="60"/>
        <w:ind w:firstLine="567"/>
        <w:jc w:val="both"/>
      </w:pPr>
      <w:r>
        <w:rPr>
          <w:rFonts w:ascii="Arial" w:cs="Arial" w:eastAsia="Arial" w:hAnsi="Arial"/>
          <w:sz w:val="24"/>
          <w:szCs w:val="24"/>
        </w:rPr>
        <w:t xml:space="preserve">Кк = 1 - низший уровень обслуживания (от 3 РП), где РП - установленный законодательством расчетный показатель.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jvdfelxkgteql1cq_snb">
        <w:r>
          <w:rPr>
            <w:rFonts w:ascii="Arial" w:cs="Arial" w:eastAsia="Arial" w:hAnsi="Arial"/>
            <w:i/>
            <w:iCs/>
            <w:color w:val="1D4ED8"/>
            <w:sz w:val="24"/>
            <w:szCs w:val="24"/>
            <w:u w:val="single"/>
          </w:rPr>
          <w:t xml:space="preserve">4 марта 2019 года № 99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III
 Порядок начисления и взимания авторского вознаграждения за использование объектов авторского и смежных прав в организациях эфирного и кабельного вещания</w:t>
      </w:r>
    </w:p>
    <w:p>
      <w:pPr>
        <w:spacing w:after="60"/>
        <w:ind w:firstLine="567"/>
        <w:jc w:val="both"/>
      </w:pPr>
      <w:r>
        <w:rPr>
          <w:rFonts w:ascii="Arial" w:cs="Arial" w:eastAsia="Arial" w:hAnsi="Arial"/>
          <w:sz w:val="24"/>
          <w:szCs w:val="24"/>
        </w:rPr>
        <w:t xml:space="preserve">19. Организации эфирного и кабельного вещания за использование объектов авторского и смежных прав выплачивают авторское вознаграждение в виде процента от совокупного годового дохода организации, размер которого определяется Лицензионным соглашением и не может быть ниже ставок, предусмотренных п.п. 1-2 к </w:t>
      </w:r>
      <w:hyperlink w:history="1" r:id="rIdwopdloyg1mbr1rwyiyyz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am69olh70ncq-ckqp3n_">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Вознаграждения авторам и исполнителям за передачу исполнений (постановок) для всеобщего сведения в эфир или по кабелю начисляются согласно Регламенту распределения.</w:t>
      </w:r>
    </w:p>
    <w:p>
      <w:pPr>
        <w:spacing w:after="200" w:before="200"/>
        <w:jc w:val="center"/>
      </w:pPr>
      <w:r>
        <w:rPr>
          <w:rFonts w:ascii="Arial" w:cs="Arial" w:eastAsia="Arial" w:hAnsi="Arial"/>
          <w:b/>
          <w:bCs/>
          <w:sz w:val="24"/>
          <w:szCs w:val="24"/>
        </w:rPr>
        <w:t xml:space="preserve">Раздел IV
 Порядок начисления и взимания авторского вознаграждения за воспроизведение объектов авторского и смежных прав путем звуко- и видеозаписи, за сдачу экземпляров звуко- и видеозаписей и аудиовизуальных произведений (фонограмм и видеофильмов) в прокат</w:t>
      </w:r>
    </w:p>
    <w:p>
      <w:pPr>
        <w:spacing w:after="60"/>
        <w:ind w:firstLine="567"/>
        <w:jc w:val="both"/>
      </w:pPr>
      <w:r>
        <w:rPr>
          <w:rFonts w:ascii="Arial" w:cs="Arial" w:eastAsia="Arial" w:hAnsi="Arial"/>
          <w:sz w:val="24"/>
          <w:szCs w:val="24"/>
        </w:rPr>
        <w:t xml:space="preserve">21. Плательщиками авторского вознаграждения являются юридические и физические лица, осуществляющие воспроизведение объектов авторского права и смежных прав путем звуко- и видеозаписи в целях их распространения, сдающие экземпляры звуко- и видеозаписей и аудиовизуальные произведения (фонограмм и видеофильмов) в прокат.</w:t>
      </w:r>
    </w:p>
    <w:p>
      <w:pPr>
        <w:spacing w:after="60"/>
        <w:ind w:firstLine="567"/>
        <w:jc w:val="both"/>
      </w:pPr>
      <w:r>
        <w:rPr>
          <w:rFonts w:ascii="Arial" w:cs="Arial" w:eastAsia="Arial" w:hAnsi="Arial"/>
          <w:sz w:val="24"/>
          <w:szCs w:val="24"/>
        </w:rPr>
        <w:t xml:space="preserve">22. Объектами авторских и смежных прав, за воспроизведение которых начисляется авторское вознаграждение по ставкам </w:t>
      </w:r>
      <w:hyperlink w:history="1" r:id="rIde4su30tdqfpebdldgg4aa">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настоящему Положению, являются не только аудиовизуальные и музыкальные произведения, но и программы для ЭВМ интерактивного типа ("мультимедиа"), компьютерные игры, обучающие программы и др. программы для ЭВМ.</w:t>
      </w:r>
    </w:p>
    <w:p>
      <w:pPr>
        <w:spacing w:after="60"/>
        <w:ind w:firstLine="567"/>
        <w:jc w:val="both"/>
      </w:pPr>
      <w:r>
        <w:rPr>
          <w:rFonts w:ascii="Arial" w:cs="Arial" w:eastAsia="Arial" w:hAnsi="Arial"/>
          <w:sz w:val="24"/>
          <w:szCs w:val="24"/>
        </w:rPr>
        <w:t xml:space="preserve">22-1. Размер ежемесячных фиксированных ставок авторского вознаграждения за распространение музыкальных произведений в форме рингтона, реалтона, рингбэктона через розничную торговлю (пункты скачивания мелодий для сотовых телефонов) исчисляется по следующей формуле:</w:t>
      </w:r>
    </w:p>
    <w:p>
      <w:pPr>
        <w:spacing w:after="120" w:before="120"/>
        <w:ind w:firstLine="567"/>
        <w:jc w:val="both"/>
      </w:pPr>
      <w:r>
        <w:rPr>
          <w:rFonts w:ascii="Arial" w:cs="Arial" w:eastAsia="Arial" w:hAnsi="Arial"/>
          <w:sz w:val="24"/>
          <w:szCs w:val="24"/>
        </w:rPr>
        <w:t xml:space="preserve">С = Сб х Км, где:</w:t>
      </w:r>
    </w:p>
    <w:p>
      <w:pPr>
        <w:spacing w:after="60"/>
        <w:ind w:firstLine="567"/>
        <w:jc w:val="both"/>
      </w:pPr>
      <w:r>
        <w:rPr>
          <w:rFonts w:ascii="Arial" w:cs="Arial" w:eastAsia="Arial" w:hAnsi="Arial"/>
          <w:sz w:val="24"/>
          <w:szCs w:val="24"/>
        </w:rPr>
        <w:t xml:space="preserve">С - ставка авторского вознаграждения;</w:t>
      </w:r>
    </w:p>
    <w:p>
      <w:pPr>
        <w:spacing w:after="60"/>
        <w:ind w:firstLine="567"/>
        <w:jc w:val="both"/>
      </w:pPr>
      <w:r>
        <w:rPr>
          <w:rFonts w:ascii="Arial" w:cs="Arial" w:eastAsia="Arial" w:hAnsi="Arial"/>
          <w:sz w:val="24"/>
          <w:szCs w:val="24"/>
        </w:rPr>
        <w:t xml:space="preserve">Сб - базовая ставка;</w:t>
      </w:r>
    </w:p>
    <w:p>
      <w:pPr>
        <w:spacing w:after="60"/>
        <w:ind w:firstLine="567"/>
        <w:jc w:val="both"/>
      </w:pPr>
      <w:r>
        <w:rPr>
          <w:rFonts w:ascii="Arial" w:cs="Arial" w:eastAsia="Arial" w:hAnsi="Arial"/>
          <w:sz w:val="24"/>
          <w:szCs w:val="24"/>
        </w:rPr>
        <w:t xml:space="preserve">Км - коэффициент месторасположения плательщика.</w:t>
      </w:r>
    </w:p>
    <w:p>
      <w:pPr>
        <w:spacing w:after="120" w:before="120"/>
        <w:ind w:firstLine="567"/>
        <w:jc w:val="both"/>
      </w:pPr>
      <w:r>
        <w:rPr>
          <w:rFonts w:ascii="Arial" w:cs="Arial" w:eastAsia="Arial" w:hAnsi="Arial"/>
          <w:sz w:val="24"/>
          <w:szCs w:val="24"/>
        </w:rPr>
        <w:t xml:space="preserve">С = РП х N, где:</w:t>
      </w:r>
    </w:p>
    <w:p>
      <w:pPr>
        <w:spacing w:after="60"/>
        <w:ind w:firstLine="567"/>
        <w:jc w:val="both"/>
      </w:pPr>
      <w:r>
        <w:rPr>
          <w:rFonts w:ascii="Arial" w:cs="Arial" w:eastAsia="Arial" w:hAnsi="Arial"/>
          <w:sz w:val="24"/>
          <w:szCs w:val="24"/>
        </w:rPr>
        <w:t xml:space="preserve">РП - расчетный показатель, установленный законодательством Кыргызской Республики;</w:t>
      </w:r>
    </w:p>
    <w:p>
      <w:pPr>
        <w:spacing w:after="60"/>
        <w:ind w:firstLine="567"/>
        <w:jc w:val="both"/>
      </w:pPr>
      <w:r>
        <w:rPr>
          <w:rFonts w:ascii="Arial" w:cs="Arial" w:eastAsia="Arial" w:hAnsi="Arial"/>
          <w:sz w:val="24"/>
          <w:szCs w:val="24"/>
        </w:rPr>
        <w:t xml:space="preserve">N - количество аппаратов для скачивания (компьютеров).</w:t>
      </w:r>
    </w:p>
    <w:p>
      <w:pPr>
        <w:spacing w:after="60"/>
        <w:ind w:firstLine="567"/>
        <w:jc w:val="both"/>
      </w:pPr>
      <w:r>
        <w:rPr>
          <w:rFonts w:ascii="Arial" w:cs="Arial" w:eastAsia="Arial" w:hAnsi="Arial"/>
          <w:sz w:val="24"/>
          <w:szCs w:val="24"/>
        </w:rPr>
        <w:t xml:space="preserve">Коэффициент месторасположения плательщика (Км) присваивается плательщику в зависимости от его расположения в следующих районах:</w:t>
      </w:r>
    </w:p>
    <w:p>
      <w:pPr>
        <w:spacing w:after="60"/>
        <w:ind w:firstLine="567"/>
        <w:jc w:val="both"/>
      </w:pPr>
      <w:r>
        <w:rPr>
          <w:rFonts w:ascii="Arial" w:cs="Arial" w:eastAsia="Arial" w:hAnsi="Arial"/>
          <w:sz w:val="24"/>
          <w:szCs w:val="24"/>
        </w:rPr>
        <w:t xml:space="preserve">Км = 6 - города Бишкек и Ош;</w:t>
      </w:r>
    </w:p>
    <w:p>
      <w:pPr>
        <w:spacing w:after="60"/>
        <w:ind w:firstLine="567"/>
        <w:jc w:val="both"/>
      </w:pPr>
      <w:r>
        <w:rPr>
          <w:rFonts w:ascii="Arial" w:cs="Arial" w:eastAsia="Arial" w:hAnsi="Arial"/>
          <w:sz w:val="24"/>
          <w:szCs w:val="24"/>
        </w:rPr>
        <w:t xml:space="preserve">Км = 3 - иные города;</w:t>
      </w:r>
    </w:p>
    <w:p>
      <w:pPr>
        <w:spacing w:after="60"/>
        <w:ind w:firstLine="567"/>
        <w:jc w:val="both"/>
      </w:pPr>
      <w:r>
        <w:rPr>
          <w:rFonts w:ascii="Arial" w:cs="Arial" w:eastAsia="Arial" w:hAnsi="Arial"/>
          <w:sz w:val="24"/>
          <w:szCs w:val="24"/>
        </w:rPr>
        <w:t xml:space="preserve">Км = 1,5 - остальные населенные пункты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ubvv2a-7teopsxtgr9bu">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V
 Порядок начисления и взимания авторского вознаграждения за воспроизведение произведений архитектуры, градостроительства, садово-паркового изобразительного и декоративно-прикладного искусства, фотографических произведений и кадров из аудио-визуальных произведений и тиражирование их в промышленности</w:t>
      </w:r>
    </w:p>
    <w:p>
      <w:pPr>
        <w:spacing w:after="60"/>
        <w:ind w:firstLine="567"/>
        <w:jc w:val="both"/>
      </w:pPr>
      <w:r>
        <w:rPr>
          <w:rFonts w:ascii="Arial" w:cs="Arial" w:eastAsia="Arial" w:hAnsi="Arial"/>
          <w:sz w:val="24"/>
          <w:szCs w:val="24"/>
        </w:rPr>
        <w:t xml:space="preserve">23. Авторское вознаграждение за воспроизведение и тиражирование в промышленности произведений изобразительного и декоративно-прикладного искусства, фотографических произведений и кадров из аудио-визуальных произведений выплачивается помимо авторского вознаграждения за их создание.</w:t>
      </w:r>
    </w:p>
    <w:p>
      <w:pPr>
        <w:spacing w:after="60"/>
        <w:ind w:firstLine="567"/>
        <w:jc w:val="both"/>
      </w:pPr>
      <w:r>
        <w:rPr>
          <w:rFonts w:ascii="Arial" w:cs="Arial" w:eastAsia="Arial" w:hAnsi="Arial"/>
          <w:sz w:val="24"/>
          <w:szCs w:val="24"/>
        </w:rPr>
        <w:t xml:space="preserve">Размер авторского вознаграждения за создание таких произведений определяется по соглашению сторон.</w:t>
      </w:r>
    </w:p>
    <w:p>
      <w:pPr>
        <w:spacing w:after="60"/>
        <w:ind w:firstLine="567"/>
        <w:jc w:val="both"/>
      </w:pPr>
      <w:r>
        <w:rPr>
          <w:rFonts w:ascii="Arial" w:cs="Arial" w:eastAsia="Arial" w:hAnsi="Arial"/>
          <w:sz w:val="24"/>
          <w:szCs w:val="24"/>
        </w:rPr>
        <w:t xml:space="preserve">24. Плательщиком авторского вознаграждения является юридическое или физическое лицо, осуществляющее воспроизведение произведений архитектуры, градостроительства, садово-паркового, изобразительного и декоративно-прикладного искусства, фотографических произведений и кадров из аудио-визуальных произведений и тиражирующее их в промышленности.</w:t>
      </w:r>
    </w:p>
    <w:p>
      <w:pPr>
        <w:spacing w:after="60"/>
        <w:ind w:firstLine="567"/>
        <w:jc w:val="both"/>
      </w:pPr>
      <w:r>
        <w:rPr>
          <w:rFonts w:ascii="Arial" w:cs="Arial" w:eastAsia="Arial" w:hAnsi="Arial"/>
          <w:sz w:val="24"/>
          <w:szCs w:val="24"/>
        </w:rPr>
        <w:t xml:space="preserve">25. Размер авторского вознаграждения за воспроизведение произведений декоративно-прикладного искусства в предметах утилитарного назначения (сервизы, напольные вазы, блюда, чаши, светильники, посуда, вешалки, зеркала и т.п.), сувенирных изделиях и предметах мелкой галантереи, изделиях ткачества и текстильной галантереи, ковровых, трикотажных изделиях и т.д. определяется на основе двустороннего соглашения между плательщиком и автором и не может быть ниже ставок, предусмотренных </w:t>
      </w:r>
      <w:hyperlink w:history="1" r:id="rId5hvgqjjzmztrboivlddnz">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СТАВКИ </w:t>
      </w:r>
      <w:r>
        <w:rPr>
          <w:rFonts w:ascii="Arial" w:cs="Arial" w:eastAsia="Arial" w:hAnsi="Arial"/>
          <w:b/>
          <w:bCs/>
          <w:sz w:val="24"/>
          <w:szCs w:val="24"/>
        </w:rPr>
        <w:t xml:space="preserve">
 авторского вознаграждения за публичное использование объектов авторского права и смежных прав</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1fpsaux8e-pfquak60d7r">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5377"/>
        <w:gridCol w:w="4522"/>
      </w:tblGrid>
      <w:tr>
        <w:tc>
          <w:tcPr>
            <w:tcW w:type="dxa" w:w="2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53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произведения</w:t>
            </w:r>
          </w:p>
        </w:tc>
        <w:tc>
          <w:tcPr>
            <w:tcW w:type="dxa" w:w="45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Ставки авторского вознаграждения в процентах от сумм валового сбора, поступающих от продажи билетов на спектакль, концерт (и др. программы)</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Оригинальные и переводные драматические произведения (пьесы в прозе и стихах, пьесы для детей, пьесы в кукольном исполнении)</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Инсценировки</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Музыкально-драматические произведения (опера, оперетта, музыкальная комедия, мюзикл, балет)</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 из симфонических, вокально-симфонических камерных произведений и произведений для народных инструментов</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(за всю программу)</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Концерты из других, кроме указанных в пункте 4, произведений, в том числе эстрадные (театрализованные и новогодние елочные представления, балы, программы варьете и т.п.)</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(за всю программу)</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Шоу-программы рекламного характера и театрализованные представления при бесплатном для зрителя просмотре</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фиксированная ставка</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Цирковая программа</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(за всю программу)</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использование музыкальных произведений в качестве сопровождения спортивных соревнований, показательных выступлений спортсменов, показа мод при платном входе</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(за всю программу)</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исполнение музыкальных произведений на танцевальных площадках, дискотеках, в клубах, барах, кафе, ресторанах и других общественных местах при платном входе</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(за всю программу)</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использование музыкальных произведений пользователями, указанными в подпунктах д), е), ж), з), и) пункта 4 раздела 1 настоящего Положения</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фиксированная ставка</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использование в кинотеатрах музыкальных произведений (с текстом или без текста), созданных специально для аудиовизуального произведения</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СТАВКИ </w:t>
      </w:r>
      <w:r>
        <w:rPr>
          <w:rFonts w:ascii="Arial" w:cs="Arial" w:eastAsia="Arial" w:hAnsi="Arial"/>
          <w:b/>
          <w:bCs/>
          <w:sz w:val="24"/>
          <w:szCs w:val="24"/>
        </w:rPr>
        <w:t xml:space="preserve">
 авторского вознаграждения за использование объектов авторского и смежных прав в организациях эфирного и кабельного вещания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oajzctq8pck_4mhafi6lk">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7444"/>
        <w:gridCol w:w="2473"/>
      </w:tblGrid>
      <w:tr>
        <w:tc>
          <w:tcPr>
            <w:tcW w:type="dxa" w:w="2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7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использованных произведений</w:t>
            </w:r>
          </w:p>
        </w:tc>
        <w:tc>
          <w:tcPr>
            <w:tcW w:type="dxa" w:w="24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Ставки авторского вознаграждения в процентах от совокупного годового дохода</w:t>
            </w:r>
          </w:p>
        </w:tc>
      </w:tr>
      <w:tr>
        <w:tc>
          <w:tcPr>
            <w:tcW w:type="dxa" w:w="2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w:t>
            </w:r>
          </w:p>
        </w:tc>
        <w:tc>
          <w:tcPr>
            <w:tcW w:type="dxa" w:w="74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 использование объектов авторского и смежных прав в передачах эфирного вещания (радио, телевидение), в которых доля вещания музыкальных произведений от общего объема вещания составляет: </w:t>
            </w:r>
          </w:p>
        </w:tc>
        <w:tc>
          <w:tcPr>
            <w:tcW w:type="dxa" w:w="24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4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50% </w:t>
            </w:r>
          </w:p>
        </w:tc>
        <w:tc>
          <w:tcPr>
            <w:tcW w:type="dxa" w:w="24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w:t>
            </w:r>
          </w:p>
        </w:tc>
      </w:tr>
      <w:tr>
        <w:tc>
          <w:tcPr>
            <w:vMerge w:val="continue"/>
            <w:tcBorders>
              <w:top w:val="none" w:color="auto" w:sz="0"/>
              <w:left w:val="single" w:color="CBBF9E" w:sz="4"/>
              <w:bottom w:val="single" w:color="CBBF9E" w:sz="4"/>
              <w:right w:val="single" w:color="CBBF9E" w:sz="4"/>
            </w:tcBorders>
          </w:tcP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50% </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использование объектов авторского и смежных прав в передачах кабельного телевидения</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24"/>
          <w:szCs w:val="24"/>
        </w:rPr>
        <w:t xml:space="preserve">СТАВКИ </w:t>
      </w:r>
      <w:r>
        <w:rPr>
          <w:rFonts w:ascii="Arial" w:cs="Arial" w:eastAsia="Arial" w:hAnsi="Arial"/>
          <w:b/>
          <w:bCs/>
          <w:sz w:val="24"/>
          <w:szCs w:val="24"/>
        </w:rPr>
        <w:t xml:space="preserve">
 авторского вознаграждения за воспроизведение и распространение объектов авторского права и смежных прав путем звуко- и видеозаписи (фонограмм и видеофильмов) в форме мелодий звонка для сотовых телефонов (рингтонов, ринбэктонов, реалтонов), за сдачу экземпляров звуко- и видеозаписей (фонограмм и видеофильмов) и программ интерактивного типа ("мультимедиа") для компьютерных программ в прокат</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x4m7fsg0oxwnzokcbhq_">
        <w:r>
          <w:rPr>
            <w:rFonts w:ascii="Arial" w:cs="Arial" w:eastAsia="Arial" w:hAnsi="Arial"/>
            <w:i/>
            <w:iCs/>
            <w:color w:val="1D4ED8"/>
            <w:sz w:val="24"/>
            <w:szCs w:val="24"/>
            <w:u w:val="single"/>
          </w:rPr>
          <w:t xml:space="preserve">17 августа 2007 года № 339</w:t>
        </w:r>
      </w:hyperlink>
      <w:r>
        <w:rPr>
          <w:rFonts w:ascii="Arial" w:cs="Arial" w:eastAsia="Arial" w:hAnsi="Arial"/>
          <w:i/>
          <w:iCs/>
          <w:sz w:val="24"/>
          <w:szCs w:val="24"/>
        </w:rPr>
        <w:t xml:space="preserve">, </w:t>
      </w:r>
      <w:hyperlink w:history="1" r:id="rId5k4rqjkgzgca3gxw8il8v">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
        <w:gridCol w:w="5156"/>
        <w:gridCol w:w="4792"/>
      </w:tblGrid>
      <w:tr>
        <w:tc>
          <w:tcPr>
            <w:tcW w:type="dxa" w:w="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5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использованных произведений</w:t>
            </w:r>
          </w:p>
        </w:tc>
        <w:tc>
          <w:tcPr>
            <w:tcW w:type="dxa" w:w="4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Ставки авторского вознаграждения в процентах</w:t>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Воспроизведение объектов авторского права и смежных прав при их серийном изготовлении</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от отпускной цены каждого выпущенного экземпляра (независимо от количества произведений, записанных на носителе)</w:t>
            </w:r>
          </w:p>
        </w:tc>
      </w:tr>
      <w:tr>
        <w:tc>
          <w:tcPr>
            <w:tcW w:type="dxa" w:w="2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экземпляров звуко- и видеозаписей (фонограмм и видеофильмов) в прокат</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от дохода, полученного за сдачу экземпляров звукозаписей в прокат</w:t>
            </w:r>
          </w:p>
        </w:tc>
      </w:tr>
      <w:tr>
        <w:tc>
          <w:tcPr>
            <w:tcW w:type="dxa" w:w="2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объектов авторского права в форме мелодий звонка для сотовых телефонов (рингтонов, ринбектонов, реалтонов):</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распространении через Интернет и операторов сотовой связи;</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от отпускной цены за каждый случай распространения произведений;</w:t>
            </w:r>
          </w:p>
        </w:tc>
      </w:tr>
      <w:tr>
        <w:tc>
          <w:tcPr>
            <w:tcW w:type="dxa" w:w="2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распространении через розничную торговлю (пункты скачивания мелодий для сотовых телефонов)</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фиксированная ставка</w:t>
            </w:r>
          </w:p>
        </w:tc>
      </w:tr>
    </w:tbl>
    <w:p>
      <w:pPr>
        <w:spacing w:after="60" w:before="120"/>
        <w:ind w:firstLine="567"/>
        <w:jc w:val="both"/>
      </w:pPr>
      <w:r>
        <w:rPr>
          <w:rFonts w:ascii="Arial" w:cs="Arial" w:eastAsia="Arial" w:hAnsi="Arial"/>
          <w:sz w:val="24"/>
          <w:szCs w:val="24"/>
        </w:rPr>
        <w:t xml:space="preserve">Примечание: Отпускной ценой является цена, по которой экземпляры звукозаписи отпускаются изготовителем для реализации.</w:t>
      </w:r>
    </w:p>
    <w:p>
      <w:pPr>
        <w:spacing w:after="60"/>
        <w:ind w:firstLine="567"/>
        <w:jc w:val="both"/>
      </w:pPr>
      <w:r>
        <w:rPr>
          <w:rFonts w:ascii="Arial" w:cs="Arial" w:eastAsia="Arial" w:hAnsi="Arial"/>
          <w:sz w:val="24"/>
          <w:szCs w:val="24"/>
        </w:rPr>
        <w:t xml:space="preserve">Доходом является сумма, полученная от индивидуального заказчика (клиента).</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24"/>
          <w:szCs w:val="24"/>
        </w:rPr>
        <w:t xml:space="preserve">СТАВКИ </w:t>
      </w:r>
      <w:r>
        <w:rPr>
          <w:rFonts w:ascii="Arial" w:cs="Arial" w:eastAsia="Arial" w:hAnsi="Arial"/>
          <w:b/>
          <w:bCs/>
          <w:sz w:val="24"/>
          <w:szCs w:val="24"/>
        </w:rPr>
        <w:t xml:space="preserve">
 авторского вознаграждения за воспроизведение произведений архитектуры, градостроительства, садово-паркового, изобразительного и декоративно-прикладного искусства, фотографических произведений, кадров из аудио-визуальных произведений и тиражирование их в промышленности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7365"/>
        <w:gridCol w:w="2553"/>
      </w:tblGrid>
      <w:tr>
        <w:tc>
          <w:tcPr>
            <w:tcW w:type="dxa" w:w="2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73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произведений изобразительного искусства</w:t>
            </w:r>
          </w:p>
        </w:tc>
        <w:tc>
          <w:tcPr>
            <w:tcW w:type="dxa" w:w="2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Ставки авторского вознаграждения в процентах от отпускной цены партии изделий</w:t>
            </w:r>
          </w:p>
        </w:tc>
      </w:tr>
      <w:tr>
        <w:tc>
          <w:tcPr>
            <w:tcW w:type="dxa" w:w="2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w:t>
            </w:r>
          </w:p>
        </w:tc>
        <w:tc>
          <w:tcPr>
            <w:tcW w:type="dxa" w:w="7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Произведения мелкой пластики и миниатюрной скульптуры, скульптурных произведений </w:t>
            </w:r>
          </w:p>
        </w:tc>
        <w:tc>
          <w:tcPr>
            <w:tcW w:type="dxa" w:w="2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Произведения изобразительного искусства, в том числе фото и кадры из аудио-визуальных произведений на промышленных изделиях (сувенирах, предметах галантереи, текстильных и трикотажных изделиях и т.п.)</w:t>
            </w:r>
          </w:p>
        </w:tc>
        <w:tc>
          <w:tcPr>
            <w:tcW w:type="dxa" w:w="2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2lhsefubv05mngkx0jg">
      <w:r>
        <w:rPr>
          <w:rFonts w:ascii="Arial" w:cs="Arial" w:eastAsia="Arial" w:hAnsi="Arial"/>
          <w:color w:val="132D3F"/>
          <w:sz w:val="16"/>
          <w:szCs w:val="16"/>
          <w:u w:val="single"/>
        </w:rPr>
        <w:t xml:space="preserve">dalil.kg/document/53668</w:t>
      </w:r>
    </w:hyperlink>
  </w:p>
  <w:p>
    <w:pPr>
      <w:spacing w:after="0" w:before="40"/>
      <w:jc w:val="center"/>
    </w:pPr>
    <w:hyperlink w:history="1" r:id="rIdmbduwkks65jwom70gaq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3eqf2robcuxnlcbdgvfd" Type="http://schemas.openxmlformats.org/officeDocument/2006/relationships/hyperlink" Target="https://dalil.kg/document/53665" TargetMode="External"/><Relationship Id="rIdo3zpfy84c-fnyqgoqwr_c" Type="http://schemas.openxmlformats.org/officeDocument/2006/relationships/hyperlink" Target="https://dalil.kg/document/58471" TargetMode="External"/><Relationship Id="rIdmab7zq_7crwop2vxy8cle" Type="http://schemas.openxmlformats.org/officeDocument/2006/relationships/hyperlink" Target="https://dalil.kg/document/94393" TargetMode="External"/><Relationship Id="rIdcoda2bw4n48nh5g5hrqyg" Type="http://schemas.openxmlformats.org/officeDocument/2006/relationships/hyperlink" Target="https://dalil.kg/document/13347" TargetMode="External"/><Relationship Id="rIdn9ymidwc-irlvmit8d-mf" Type="http://schemas.openxmlformats.org/officeDocument/2006/relationships/hyperlink" Target="https://dalil.kg/document/160616" TargetMode="External"/><Relationship Id="rIdky46qpockgadnbrht5hmp" Type="http://schemas.openxmlformats.org/officeDocument/2006/relationships/hyperlink" Target="https://dalil.kg/document/17" TargetMode="External"/><Relationship Id="rIdtwfw2vajg2_jexp657ph9" Type="http://schemas.openxmlformats.org/officeDocument/2006/relationships/hyperlink" Target="https://dalil.kg/document/94393" TargetMode="External"/><Relationship Id="rIdpamc4cmn4bndxhel2z63j" Type="http://schemas.openxmlformats.org/officeDocument/2006/relationships/hyperlink" Target="https://dalil.kg/document/13347" TargetMode="External"/><Relationship Id="rIdieh6rbof8xnssv0soraou" Type="http://schemas.openxmlformats.org/officeDocument/2006/relationships/hyperlink" Target="https://dalil.kg/document/58471" TargetMode="External"/><Relationship Id="rIdh24desui3ghmv7qwrk3up" Type="http://schemas.openxmlformats.org/officeDocument/2006/relationships/hyperlink" Target="https://dalil.kg/document/13347" TargetMode="External"/><Relationship Id="rIdj_22icskzrwwiumjifvmh" Type="http://schemas.openxmlformats.org/officeDocument/2006/relationships/hyperlink" Target="https://dalil.kg/document/160616" TargetMode="External"/><Relationship Id="rIduamrrerrukk1mipwyalwa" Type="http://schemas.openxmlformats.org/officeDocument/2006/relationships/hyperlink" Target="https://dalil.kg/document/94393" TargetMode="External"/><Relationship Id="rIdfcwoboa9leqfkdmvombgk" Type="http://schemas.openxmlformats.org/officeDocument/2006/relationships/hyperlink" Target="https://dalil.kg/document/53668#p1" TargetMode="External"/><Relationship Id="rId6szt9u1w5az62qc4f6aj1" Type="http://schemas.openxmlformats.org/officeDocument/2006/relationships/hyperlink" Target="https://dalil.kg/document/53668#p1" TargetMode="External"/><Relationship Id="rIdtpzilklapaemmmtinvr68" Type="http://schemas.openxmlformats.org/officeDocument/2006/relationships/hyperlink" Target="https://dalil.kg/document/53668#p1" TargetMode="External"/><Relationship Id="rIdrlax5mvpdctcz84lgusqo" Type="http://schemas.openxmlformats.org/officeDocument/2006/relationships/hyperlink" Target="https://dalil.kg/document/94393" TargetMode="External"/><Relationship Id="rId-wqbhqexwcdbcwnk4i5z6" Type="http://schemas.openxmlformats.org/officeDocument/2006/relationships/hyperlink" Target="https://dalil.kg/document/94393" TargetMode="External"/><Relationship Id="rId62g0vmpvnze7uyfjmyyo8" Type="http://schemas.openxmlformats.org/officeDocument/2006/relationships/hyperlink" Target="https://dalil.kg/document/13347" TargetMode="External"/><Relationship Id="rIdujvdfelxkgteql1cq_snb" Type="http://schemas.openxmlformats.org/officeDocument/2006/relationships/hyperlink" Target="https://dalil.kg/document/13347" TargetMode="External"/><Relationship Id="rIdwopdloyg1mbr1rwyiyyzq" Type="http://schemas.openxmlformats.org/officeDocument/2006/relationships/hyperlink" Target="https://dalil.kg/document/53668#p2" TargetMode="External"/><Relationship Id="rIdvam69olh70ncq-ckqp3n_" Type="http://schemas.openxmlformats.org/officeDocument/2006/relationships/hyperlink" Target="https://dalil.kg/document/94393" TargetMode="External"/><Relationship Id="rIde4su30tdqfpebdldgg4aa" Type="http://schemas.openxmlformats.org/officeDocument/2006/relationships/hyperlink" Target="https://dalil.kg/document/53668#p3" TargetMode="External"/><Relationship Id="rId7ubvv2a-7teopsxtgr9bu" Type="http://schemas.openxmlformats.org/officeDocument/2006/relationships/hyperlink" Target="https://dalil.kg/document/94393" TargetMode="External"/><Relationship Id="rId5hvgqjjzmztrboivlddnz" Type="http://schemas.openxmlformats.org/officeDocument/2006/relationships/hyperlink" Target="https://dalil.kg/document/53668#p4" TargetMode="External"/><Relationship Id="rId1fpsaux8e-pfquak60d7r" Type="http://schemas.openxmlformats.org/officeDocument/2006/relationships/hyperlink" Target="https://dalil.kg/document/94393" TargetMode="External"/><Relationship Id="rIdoajzctq8pck_4mhafi6lk" Type="http://schemas.openxmlformats.org/officeDocument/2006/relationships/hyperlink" Target="https://dalil.kg/document/94393" TargetMode="External"/><Relationship Id="rIdix4m7fsg0oxwnzokcbhq_" Type="http://schemas.openxmlformats.org/officeDocument/2006/relationships/hyperlink" Target="https://dalil.kg/document/58471" TargetMode="External"/><Relationship Id="rId5k4rqjkgzgca3gxw8il8v" Type="http://schemas.openxmlformats.org/officeDocument/2006/relationships/hyperlink" Target="https://dalil.kg/document/94393"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2lhsefubv05mngkx0jg" Type="http://schemas.openxmlformats.org/officeDocument/2006/relationships/hyperlink" Target="https://dalil.kg/document/53668" TargetMode="External"/><Relationship Id="rIdmbduwkks65jwom70gaq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2026-09-23T18:47:21.978Z</dcterms:created>
  <dcterms:modified xsi:type="dcterms:W3CDTF">2026-09-23T18:47:21.978Z</dcterms:modified>
</cp:coreProperties>
</file>

<file path=docProps/custom.xml><?xml version="1.0" encoding="utf-8"?>
<Properties xmlns="http://schemas.openxmlformats.org/officeDocument/2006/custom-properties" xmlns:vt="http://schemas.openxmlformats.org/officeDocument/2006/docPropsVTypes"/>
</file>