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2002 года № 560            ПОСТАНОВЛЕНИЕ ПРАВИТЕЛЬСТВА КЫРГЫЗСКОЙ РЕСПУБЛИКИ         Об утверждении Соглашения о сотрудничестве в развитии и      использовании систем сотовой подвижной связи, подписанного       17 января 1997 года в гор. Москве и Протокола о внесении              изменения в данное Соглашение, подписанного                   25 января 2000 года в гор. Москве                                      В  целях выполнения внутригосударственных процедур согласно  статье11  Соглашения  о  сотрудничестве в развитии  и  использовании  системсотовой  подвижной  связи, подписанного 17 января  1997  года  в  гор.Москве, и пункта 3 Протокола о внесении изменения в данное Соглашение,подписанного 25 января 2000 года в гор. Москве, а также в соответствиис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Республики»  и</w:t>
      </w:r>
    </w:p>
    <w:p>
      <w:r>
        <w:rPr>
          <w:rFonts w:ascii="Arial" w:cs="Arial" w:eastAsia="Arial" w:hAnsi="Arial"/>
          <w:sz w:val="24"/>
          <w:szCs w:val="24"/>
        </w:rPr>
        <w:t xml:space="preserve">«О  нормативных правовых актах Кыргызской 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 Утвердить прилагаемые:   -  Соглашение  о  сотрудничестве в развитии и использовании  системсотовой  подвижной  связи, подписанное 17  января  1997  года  в  гор.Москве;   -  Протокол  о  внесении изменения в Соглашение о сотрудничестве  вразвитии  и  использовании систем сотовой подвижной связи, подписанный25 января 2000 года в гор. Москве.   2. Министерству иностранных дел Кыргызской Республики:   -  уведомить  Исполнительный комитет СНГ  о  выполнении  КыргызскойРеспубликой внутригосударственных процедур, необходимых для вступленияв силу вышеназванных международных договоров;   - контролировать выполнение настоящих Соглашения и Протокола.   3.   Ответственным  за  выполнение  обязательств,   вытекающих   измеждународных   договоров,   указанных   в   пункте    1    настоящегопостановления,  возложить  на Министерство транспорта  и  коммуникацийКыргызской Республики.   4.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           Премьер-министр                            Н.Танаев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 
 о сотрудничестве в развитии и использовании систем сотовой подвижной связи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17 января 1997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Протоколов от </w:t>
      </w:r>
      <w:hyperlink w:history="1" r:id="rIdxsswqkssnxdpebqgty1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2000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dr6e9r0hrfiyiinpr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Содружества Независимых Государств в лице их правительств, далее - Стороны,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сотрудничества в области развития систем сотовой подвижной связи,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совместного и эффективного использования систем сотовой подвижной связи для развития рынка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последовательной реализации Соглашения о координации межгосударственных отношений в области почтовой и электрической связи от 9 октября 1992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приводимые ниже термины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сотовой подвижной связи (подвижной радиотелефонной связи)</w:t>
      </w:r>
      <w:r>
        <w:rPr>
          <w:rFonts w:ascii="Arial" w:cs="Arial" w:eastAsia="Arial" w:hAnsi="Arial"/>
          <w:sz w:val="24"/>
          <w:szCs w:val="24"/>
        </w:rPr>
        <w:t xml:space="preserve">" - совокупность технических средств (коммутационное и радиооборудование, соединительные линии, сооружения), с помощью которых абонентам системы предоставляется непрерывная телефонная связь (городская, междугородная, международная) между собой и с абонентами сети общего пользования, в том числе с использованием современных цифровых стандартов радиотелефонной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роумин</w:t>
      </w:r>
      <w:r>
        <w:rPr>
          <w:rFonts w:ascii="Arial" w:cs="Arial" w:eastAsia="Arial" w:hAnsi="Arial"/>
          <w:sz w:val="24"/>
          <w:szCs w:val="24"/>
        </w:rPr>
        <w:t xml:space="preserve">г" - услуга системы сотовой подвижной связи, обеспечивающая возможность абонентам осуществлять двустороннюю связь без какого-либо предварительного заявления при перемещении из зоны действия одного оператора к другому как внутри страны, так и за ее рубежами;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транзитная сеть</w:t>
      </w:r>
      <w:r>
        <w:rPr>
          <w:rFonts w:ascii="Arial" w:cs="Arial" w:eastAsia="Arial" w:hAnsi="Arial"/>
          <w:sz w:val="24"/>
          <w:szCs w:val="24"/>
        </w:rPr>
        <w:t xml:space="preserve">" - система, обеспечивающая передачу информации по каналам связи из одного государства в другое через промежуточные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стандартизация оборудования связи</w:t>
      </w:r>
      <w:r>
        <w:rPr>
          <w:rFonts w:ascii="Arial" w:cs="Arial" w:eastAsia="Arial" w:hAnsi="Arial"/>
          <w:sz w:val="24"/>
          <w:szCs w:val="24"/>
        </w:rPr>
        <w:t xml:space="preserve">" - процесс установления и применения технических характеристик и параметров, взятых за основу для сопоставления оборудования связи одинакового технического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оборудования связи</w:t>
      </w:r>
      <w:r>
        <w:rPr>
          <w:rFonts w:ascii="Arial" w:cs="Arial" w:eastAsia="Arial" w:hAnsi="Arial"/>
          <w:sz w:val="24"/>
          <w:szCs w:val="24"/>
        </w:rPr>
        <w:t xml:space="preserve">" - проверка аппаратуры связи на соответствие установленным стандартам, иным нормам и техническим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абонентский терминал</w:t>
      </w:r>
      <w:r>
        <w:rPr>
          <w:rFonts w:ascii="Arial" w:cs="Arial" w:eastAsia="Arial" w:hAnsi="Arial"/>
          <w:sz w:val="24"/>
          <w:szCs w:val="24"/>
        </w:rPr>
        <w:t xml:space="preserve">" - абонентский аппарат личного пользования, оконечное устройство, с помощью которого абонент осуществляет прием и передачу сигналов в системах сотовой подвижной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fub9zal1kjvq80jrt8t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меры по выработке: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по выделению частот для дальнейшего создания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по основным направлениям проведения согласованной политики по созданию условий, способствующих развитию сетей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по стандартизации и сертификации оборудования, применяемого для создания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предложений, направленных на обеспечение гармонизации национальных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по взаимодействию операторов сетей сотовой подвижной связи с учетом организационно-технических особенностей национальных сетей и действующих положений международных организаций операторов;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по защите информации от несанкционированного доступа и по организации пресечения такого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относительно расширения возможностей использования систем сотовой подвижной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lsrjhnckm_2mir5wfi_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выражают готовность: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сети систем сотовой подвижной связи, имеющие национальный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межгосударственный роуминг через национальные системы сотовой подвижной связи согласно принятым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транзитные сети и новые технологии в интересах функционирования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технологические процессы и технические средства в области систем сотовой подвижной связи на межгосударственных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механизмы и системы взаиморасчетов и платежей за услуги межгосударственного роуминга в соответствии с международными рекомендациями;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проводить конверсию радиочастотного спектра в целях выделения его полос для дальнейшего развития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развитию трансграничных услуг, предоставляемых с использованием систем сотовой подвижной связи, а также упрощению доступа абонентов к услугам и регулирования деятельности по оказанию услуг для операторов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выработке и принятию мер по регулированию мощности сигнала от приграничных станций, соответствию параметров скоординированных частотных присвоений.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_8gu7ggiavbndnbb1lb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меры по обеспечению условий беспрепятственного перемещения через государственные границы, в соответствии с порядком, определяемым Сторонами, индивидуальных абонентских терминалов сотовой подвижной связи, в том числе транзитом в третьи страны для пользования ими в рамках заключенных договоров о предоставлении роуминга.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хозяйствующих субъектов при заключении между ними договоров о взаимодействии систем сотовой подвижной связи на межгосударственных направлениях регламентируется национальным законодательством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r5xvukhlg3i5mgye36d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меры по сближению национальных нормативных правовых актов в области развития и использования систем сотовой подвижной связи, ориентированных на беспрепятственное предоставление услуг этого вида связи на территориях государств-участников настоящего Соглашения, и других видов услуг, предоставляемых с использованием систем подвижной радиотелефонной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по пресечению передачи несанкционированного, некачественного трафика (в том числе посредством "SimBox" номеров) через системы сотовой подвижной связи, не соответствующего международным стандартам и приводящего к проблемам, связанным с безопасностью, и финансовым убыткам, а также по использованию прямых голосовых каналов мобильных операторов обеих сторон для взаимообмена трафиком.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a498-hb-rwdy6e_qeqh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Компетентными органами, ответственными за выработку мер и выполнение условий настоящего Соглашения, являются администрации связи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мероприятий по развитию систем сотовой подвижной связи осуществляется на принципах равноправия и взаимной выгоды с учетом экономических и географических особенностей каждого государства-участника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 и дополнения.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пяти лет со дня его вступления в силу. По истечении этого срока Соглашение автоматически продлевается каждой из Сторон на новый пятилетний период, если Стороны не примут иного решения.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 со дня сдачи на хранение депозитарию третьего уведомления о выполнении подписавшими его Сторонами всех необходимых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оно вступает в силу в день сдачи соответствующих документов депозитарию.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других государств, разделяющих его цели и принципы, путем передачи депозитарию документов о таком присоединении. Присоединение считается вступившим в силу со дня получения депозитарием последнего сообщения о согласии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или толкованием настоящего Соглашения, разрешаются путем консультаций и переговоров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выйти из настоящего Соглашения, направив письменное уведомление об этом депозитарию не позднее чем за 6 месяцев до выхода, предварительно урегулировав финансовые и иные обязательства по данному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17 января 1997 года в одном подлинном экземпляре на русском языке. Подлинный экземпляр хранится в Исполнительном Секретариате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
 А.Раси-заде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
 А.Джумагулов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
 А.Саркисян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
 В.Кунев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
 С.Линг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
 В.Черномырдин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Грузии
 Н.Лекишвили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
 Я.Азимов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
 Н.Исингарин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
 П.Лазаренко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Республикой Молдова с оговоркой: "Республика Молдова согласовывает проект Соглашения о сотрудничестве в развитии и использовании систем сотовой подвижной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Считаем, что взаимодействие между системами сотовой подвижной связи государств-членов РСС должно осуществляться на основе меморандумов о взаимопонимании GSM, NMT и заключенных между операторами государств-членов РСС этих сетей двусторонних соглашений".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Вступило в силу 22 июня 1998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gnwdtdtexwpzrizay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dalil.kg/document/53744</w:t>
      </w:r>
    </w:hyperlink>
  </w:p>
  <w:p>
    <w:pPr>
      <w:spacing w:after="0" w:before="40"/>
      <w:jc w:val="center"/>
    </w:pPr>
    <w:hyperlink w:history="1" r:id="rIdji1wsa1loo3r2go6vo6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swqkssnxdpebqgty1fz" Type="http://schemas.openxmlformats.org/officeDocument/2006/relationships/hyperlink" Target="https://dalil.kg/document/53744" TargetMode="External"/><Relationship Id="rIdhedr6e9r0hrfiyiinprq9" Type="http://schemas.openxmlformats.org/officeDocument/2006/relationships/hyperlink" Target="https://dalil.kg/document/157279" TargetMode="External"/><Relationship Id="rIdfub9zal1kjvq80jrt8tvo" Type="http://schemas.openxmlformats.org/officeDocument/2006/relationships/hyperlink" Target="https://dalil.kg/document/157279" TargetMode="External"/><Relationship Id="rIdlsrjhnckm_2mir5wfi_ak" Type="http://schemas.openxmlformats.org/officeDocument/2006/relationships/hyperlink" Target="https://dalil.kg/document/157279" TargetMode="External"/><Relationship Id="rId_8gu7ggiavbndnbb1lb3-" Type="http://schemas.openxmlformats.org/officeDocument/2006/relationships/hyperlink" Target="https://dalil.kg/document/157279" TargetMode="External"/><Relationship Id="rIdr5xvukhlg3i5mgye36dve" Type="http://schemas.openxmlformats.org/officeDocument/2006/relationships/hyperlink" Target="https://dalil.kg/document/157279" TargetMode="External"/><Relationship Id="rIda498-hb-rwdy6e_qeqhjd" Type="http://schemas.openxmlformats.org/officeDocument/2006/relationships/hyperlink" Target="https://dalil.kg/document/1572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gnwdtdtexwpzrizaylv" Type="http://schemas.openxmlformats.org/officeDocument/2006/relationships/hyperlink" Target="https://dalil.kg/document/53744" TargetMode="External"/><Relationship Id="rIdji1wsa1loo3r2go6vo6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2026-10-01T08:38:39.787Z</dcterms:created>
  <dcterms:modified xsi:type="dcterms:W3CDTF">2026-10-01T08:38:39.787Z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