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onk6romfyzuhr3a7rcqs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3 июня 2003 года № 323              ПОСТАНОВЛЕНИЕ ПРАВИТЕЛЬСТВА КЫРГЫЗСКОЙ РЕСПУБЛИКИ        О проекте Закона Кыргызской Республики «О внесении изменения               в </w:t>
      </w:r>
      <w:hyperlink w:history="1" r:id="rIdywhmvjqyfjgqsm3tbg7jv">
        <w:r>
          <w:rPr>
            <w:rFonts w:ascii="Arial" w:cs="Arial" w:eastAsia="Arial" w:hAnsi="Arial"/>
            <w:color w:val="1D4ED8"/>
            <w:sz w:val="24"/>
            <w:szCs w:val="24"/>
            <w:u w:val="single"/>
          </w:rPr>
          <w:t xml:space="preserve">Налоговый</w:t>
        </w:r>
      </w:hyperlink>
      <w:r>
        <w:rPr>
          <w:rFonts w:ascii="Arial" w:cs="Arial" w:eastAsia="Arial" w:hAnsi="Arial"/>
          <w:sz w:val="24"/>
          <w:szCs w:val="24"/>
        </w:rPr>
        <w:t xml:space="preserve"> кодекс Кыргызской Республики»                                      Правительство Кыргызской Республики постановляет:      1.  Согласиться с проектом Закона Кыргызской Республики «О внесенииизменения в Налоговый кодекс Кыргызской Республики».      2.  Направить указанный законопроект на рассмотрение Жогорку КенешаКыргызской Республики.      3. Назначить заместителя  министра  финансов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Н.Танаев                                                                    ПРОЕКТ                                 ЗАКОН                         КЫРГЫЗСКОЙ РЕСПУБЛИКИ                                                   О внесении изменения в Налоговый кодекс                         Кыргызской Республики                                      Статья   1.   Внести  в  Налоговый  кодекс  Кыргызской   Республики(Ведомости  Жогорку Кенеша Кыргызской Республики,  1996  г.,  ст.  92)следующее изменение:   Статью  151  Налогового  кодекса Кыргызской Республики  изложить  вследующей редакции:   «1. Поставка товаров (работ и услуг) для официального использованиядипломатическими   и   консульскими  представительствами   иностранныхгосударств    и    представительствами   международных    организаций,аккредитованных   в  Кыргызской  Республике,  а  также   для   личногопользования    дипломатического    или    административно-техническогоперсонала  этих представительств, включая проживающих  вместе  с  нимичленов  их семей, подлежит налогообложению по нулевой ставке налога  вслучаях:   1) если законодательством соответствующего иностранного государстваустановлен    аналогичный   порядок   в   отношении   дипломатических,консульских  или   приравненным  к  ним  представительств   КыргызскойРеспублики,  а  также  дипломатического и административно-техническогоперсонала  этих представительств, включая проживающих  вместе  с  нимичленов их семей;   2)   если   такая   норма  предусмотрена  во  вступивших   в   силумеждународных договорах, одной из сторон которых выступает  КыргызскаяРеспублика.   2.   Перечень   иностранных  государств,  а   также   международныхорганизаций,  в  отношении представительств которых применяются  нормынастоящей   статьи,   определяется   Министерством   иностранных   делКыргызской  Республики совместно с Министерством  финансов  КыргызскойРеспублики.   3.    Порядок    применения   настоящей   статьи    устанавливаетсяПравительством Кыргызской Республики.».      Статья  2. Правительству Кыргызской Республики в двухмесячный  срокпривести  свои  нормативные правовые акты в соответствие  с  настоящимЗаконом.      Статья 3. Настоящий закон вступает в силу со дня опубликования.      ПрезидентКыргызской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ljmsuu4b3ypdx3u-pjds">
      <w:r>
        <w:rPr>
          <w:rFonts w:ascii="Arial" w:cs="Arial" w:eastAsia="Arial" w:hAnsi="Arial"/>
          <w:color w:val="132D3F"/>
          <w:sz w:val="16"/>
          <w:szCs w:val="16"/>
          <w:u w:val="single"/>
        </w:rPr>
        <w:t xml:space="preserve">dalil.kg/document/54466</w:t>
      </w:r>
    </w:hyperlink>
  </w:p>
  <w:p>
    <w:pPr>
      <w:spacing w:after="0" w:before="40"/>
      <w:jc w:val="center"/>
    </w:pPr>
    <w:hyperlink w:history="1" r:id="rIdqxcl1q8oqignue8onq6s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nk6romfyzuhr3a7rcqss" Type="http://schemas.openxmlformats.org/officeDocument/2006/relationships/hyperlink" Target="https://dalil.kg/document/159126" TargetMode="External"/><Relationship Id="rIdywhmvjqyfjgqsm3tbg7jv"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ljmsuu4b3ypdx3u-pjds" Type="http://schemas.openxmlformats.org/officeDocument/2006/relationships/hyperlink" Target="https://dalil.kg/document/54466" TargetMode="External"/><Relationship Id="rIdqxcl1q8oqignue8onq6s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2026-09-24T01:14:56.500Z</dcterms:created>
  <dcterms:modified xsi:type="dcterms:W3CDTF">2026-09-24T01:14:56.500Z</dcterms:modified>
</cp:coreProperties>
</file>

<file path=docProps/custom.xml><?xml version="1.0" encoding="utf-8"?>
<Properties xmlns="http://schemas.openxmlformats.org/officeDocument/2006/custom-properties" xmlns:vt="http://schemas.openxmlformats.org/officeDocument/2006/docPropsVTypes"/>
</file>