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30-ноября 2022 года № XXVIII/13-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Чон-Кеминского айыльного кенеша за № XXVIII/5-2 от 24 ноября 2021 года о даче согласия на передачу села Торт-Куль Чон-Кеминскому айыл окмоту и трансформации земельного участка общей площадью 394,7 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пояснительной записки Службы земельных ресурсов при Министерстве сельского хозяйства Кыргызской Республики от 31 октября 2022 года за № 02-11/2780 внеочередная 13 сессия 28 созыва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hyperlink w:history="1" r:id="rIdqcqqhxvgqd7rhrh4w9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Чон-Кеминского айыльного кенеша за № XXVIII/5-2 от 24 ноября 2021 года исключить слова «Дать согласие на передачу и трансформации земельных участков площадью 394,7 га» и вместо этого дополнить словами «общая площадь земли составляет 254,23 га. Земельные участки со следующими инвентарными номерами: 931/0,5 га (пастбище); 932/1,8 га (пастбище); 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скотопрогон), (общая площадь земель квартала № 30 по материалам лесоустройства 95 га (из них под передачу (трансформации) Из общей площади земель выбытия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41,93 га</w:t>
      </w:r>
      <w:r>
        <w:rPr>
          <w:rFonts w:ascii="Arial" w:cs="Arial" w:eastAsia="Arial" w:hAnsi="Arial"/>
          <w:sz w:val="24"/>
          <w:szCs w:val="24"/>
        </w:rPr>
        <w:t xml:space="preserve">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99,5</w:t>
      </w:r>
      <w:r>
        <w:rPr>
          <w:rFonts w:ascii="Arial" w:cs="Arial" w:eastAsia="Arial" w:hAnsi="Arial"/>
          <w:sz w:val="24"/>
          <w:szCs w:val="24"/>
        </w:rPr>
        <w:t xml:space="preserve">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 земель находящиеся в государственной собственности «земли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</w:t>
      </w:r>
      <w:r>
        <w:rPr>
          <w:rFonts w:ascii="Arial" w:cs="Arial" w:eastAsia="Arial" w:hAnsi="Arial"/>
          <w:sz w:val="24"/>
          <w:szCs w:val="24"/>
        </w:rPr>
        <w:t xml:space="preserve">га, перевести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210,03га</w:t>
      </w:r>
      <w:r>
        <w:rPr>
          <w:rFonts w:ascii="Arial" w:cs="Arial" w:eastAsia="Arial" w:hAnsi="Arial"/>
          <w:sz w:val="24"/>
          <w:szCs w:val="24"/>
        </w:rPr>
        <w:t xml:space="preserve">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44,2</w:t>
      </w:r>
      <w:r>
        <w:rPr>
          <w:rFonts w:ascii="Arial" w:cs="Arial" w:eastAsia="Arial" w:hAnsi="Arial"/>
          <w:sz w:val="24"/>
          <w:szCs w:val="24"/>
        </w:rPr>
        <w:t xml:space="preserve">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Дать согласие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Дать согласие на замену земель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</w:t>
      </w:r>
      <w:r>
        <w:rPr>
          <w:rFonts w:ascii="Arial" w:cs="Arial" w:eastAsia="Arial" w:hAnsi="Arial"/>
          <w:sz w:val="24"/>
          <w:szCs w:val="24"/>
        </w:rPr>
        <w:t xml:space="preserve"> га на взамен равновеликий земельный участок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</w:t>
      </w:r>
      <w:r>
        <w:rPr>
          <w:rFonts w:ascii="Arial" w:cs="Arial" w:eastAsia="Arial" w:hAnsi="Arial"/>
          <w:sz w:val="24"/>
          <w:szCs w:val="24"/>
        </w:rPr>
        <w:t xml:space="preserve">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 га (с каменистым пастбищным лесом); 2744/143,5 га (каменистое пастбище); 2745/0,1 га (с каменистым пастбищным лесом); 2746/0,7 га (каменистое пастбище); 2747/0,6 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ijajokrxupqahx6e2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dalil.kg/document/550910</w:t>
      </w:r>
    </w:hyperlink>
  </w:p>
  <w:p>
    <w:pPr>
      <w:spacing w:after="0" w:before="40"/>
      <w:jc w:val="center"/>
    </w:pPr>
    <w:hyperlink w:history="1" r:id="rId_wzfp4rcpqzc-p6dgr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qqhxvgqd7rhrh4w9cjy" Type="http://schemas.openxmlformats.org/officeDocument/2006/relationships/hyperlink" Target="https://dalil.kg/document/550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ijajokrxupqahx6e2-l" Type="http://schemas.openxmlformats.org/officeDocument/2006/relationships/hyperlink" Target="https://dalil.kg/document/550910" TargetMode="External"/><Relationship Id="rId_wzfp4rcpqzc-p6dgre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2026-09-28T23:09:42.001Z</dcterms:created>
  <dcterms:modified xsi:type="dcterms:W3CDTF">2026-09-28T23:09:42.001Z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