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p3o2tsu7hcys-esm08u8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мая 2004 года № 362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об установлении пограничного режима в пограничной зоне и пограничной полосе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jqclplafdu-cpuw5hvduf">
        <w:r>
          <w:rPr>
            <w:rFonts w:ascii="Arial" w:cs="Arial" w:eastAsia="Arial" w:hAnsi="Arial"/>
            <w:color w:val="1D4ED8"/>
            <w:sz w:val="24"/>
            <w:szCs w:val="24"/>
            <w:u w:val="single"/>
          </w:rPr>
          <w:t xml:space="preserve">12 августа 2004 года № 606</w:t>
        </w:r>
      </w:hyperlink>
      <w:r>
        <w:rPr>
          <w:rFonts w:ascii="Arial" w:cs="Arial" w:eastAsia="Arial" w:hAnsi="Arial"/>
          <w:sz w:val="24"/>
          <w:szCs w:val="24"/>
        </w:rPr>
        <w:t xml:space="preserve">, </w:t>
      </w:r>
      <w:hyperlink w:history="1" r:id="rIdekoyfeoyyiw81zf4xaj9n">
        <w:r>
          <w:rPr>
            <w:rFonts w:ascii="Arial" w:cs="Arial" w:eastAsia="Arial" w:hAnsi="Arial"/>
            <w:color w:val="1D4ED8"/>
            <w:sz w:val="24"/>
            <w:szCs w:val="24"/>
            <w:u w:val="single"/>
          </w:rPr>
          <w:t xml:space="preserve">25 октября 2004 года № 777</w:t>
        </w:r>
      </w:hyperlink>
      <w:r>
        <w:rPr>
          <w:rFonts w:ascii="Arial" w:cs="Arial" w:eastAsia="Arial" w:hAnsi="Arial"/>
          <w:sz w:val="24"/>
          <w:szCs w:val="24"/>
        </w:rPr>
        <w:t xml:space="preserve">, </w:t>
      </w:r>
      <w:hyperlink w:history="1" r:id="rIdsauaw09bkuawbyhuwwl7n">
        <w:r>
          <w:rPr>
            <w:rFonts w:ascii="Arial" w:cs="Arial" w:eastAsia="Arial" w:hAnsi="Arial"/>
            <w:color w:val="1D4ED8"/>
            <w:sz w:val="24"/>
            <w:szCs w:val="24"/>
            <w:u w:val="single"/>
          </w:rPr>
          <w:t xml:space="preserve">29 сентября 2005 года № 460</w:t>
        </w:r>
      </w:hyperlink>
      <w:r>
        <w:rPr>
          <w:rFonts w:ascii="Arial" w:cs="Arial" w:eastAsia="Arial" w:hAnsi="Arial"/>
          <w:sz w:val="24"/>
          <w:szCs w:val="24"/>
        </w:rPr>
        <w:t xml:space="preserve">, </w:t>
      </w:r>
      <w:hyperlink w:history="1" r:id="rIdd9mpdjrhlg0z6p26rnj6y">
        <w:r>
          <w:rPr>
            <w:rFonts w:ascii="Arial" w:cs="Arial" w:eastAsia="Arial" w:hAnsi="Arial"/>
            <w:color w:val="1D4ED8"/>
            <w:sz w:val="24"/>
            <w:szCs w:val="24"/>
            <w:u w:val="single"/>
          </w:rPr>
          <w:t xml:space="preserve">2 августа 2006 года № 553</w:t>
        </w:r>
      </w:hyperlink>
      <w:r>
        <w:rPr>
          <w:rFonts w:ascii="Arial" w:cs="Arial" w:eastAsia="Arial" w:hAnsi="Arial"/>
          <w:sz w:val="24"/>
          <w:szCs w:val="24"/>
        </w:rPr>
        <w:t xml:space="preserve">, </w:t>
      </w:r>
      <w:hyperlink w:history="1" r:id="rId9qvprkwadkdanaqhp_gwr">
        <w:r>
          <w:rPr>
            <w:rFonts w:ascii="Arial" w:cs="Arial" w:eastAsia="Arial" w:hAnsi="Arial"/>
            <w:color w:val="1D4ED8"/>
            <w:sz w:val="24"/>
            <w:szCs w:val="24"/>
            <w:u w:val="single"/>
          </w:rPr>
          <w:t xml:space="preserve">28 января 2010 года № 40</w:t>
        </w:r>
      </w:hyperlink>
      <w:r>
        <w:rPr>
          <w:rFonts w:ascii="Arial" w:cs="Arial" w:eastAsia="Arial" w:hAnsi="Arial"/>
          <w:sz w:val="24"/>
          <w:szCs w:val="24"/>
        </w:rPr>
        <w:t xml:space="preserve">, </w:t>
      </w:r>
      <w:hyperlink w:history="1" r:id="rIdnhdwucncrywphvha_7zi8">
        <w:r>
          <w:rPr>
            <w:rFonts w:ascii="Arial" w:cs="Arial" w:eastAsia="Arial" w:hAnsi="Arial"/>
            <w:color w:val="1D4ED8"/>
            <w:sz w:val="24"/>
            <w:szCs w:val="24"/>
            <w:u w:val="single"/>
          </w:rPr>
          <w:t xml:space="preserve">4 ноября 2011 года № 700</w:t>
        </w:r>
      </w:hyperlink>
      <w:r>
        <w:rPr>
          <w:rFonts w:ascii="Arial" w:cs="Arial" w:eastAsia="Arial" w:hAnsi="Arial"/>
          <w:sz w:val="24"/>
          <w:szCs w:val="24"/>
        </w:rPr>
        <w:t xml:space="preserve">, </w:t>
      </w:r>
      <w:hyperlink w:history="1" r:id="rIdew-mszvyrfusktz2tyutj">
        <w:r>
          <w:rPr>
            <w:rFonts w:ascii="Arial" w:cs="Arial" w:eastAsia="Arial" w:hAnsi="Arial"/>
            <w:color w:val="1D4ED8"/>
            <w:sz w:val="24"/>
            <w:szCs w:val="24"/>
            <w:u w:val="single"/>
          </w:rPr>
          <w:t xml:space="preserve">21 января 2013 года №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Настоящее Положение устанавливает пограничный режим в пограничной зоне и пограничной полосе Кыргызской Республики в целях обеспечения надлежащего порядка на государственной границе Кыргызской Республики (далее - государственная граница).</w:t>
      </w:r>
    </w:p>
    <w:p>
      <w:pPr>
        <w:spacing w:after="120"/>
        <w:jc w:val="both"/>
      </w:pPr>
      <w:r>
        <w:rPr>
          <w:rFonts w:ascii="Arial" w:cs="Arial" w:eastAsia="Arial" w:hAnsi="Arial"/>
          <w:sz w:val="24"/>
          <w:szCs w:val="24"/>
        </w:rPr>
        <w:t xml:space="preserve">Пограничная зона устанавливается по характерным точкам, указанным в перечне территорий областных, городских, районных государственных администраций, айыл окмоту включенных в пограничную зону. В горной местности, а также в малонаселенных участках пограничная зона устанавливается шириной от 10000 до 50000 метров. На равнинной местности, в местах, где государственная граница проходит по населенным пунктам или населенные пункты расположены непосредственно вблизи линии границы, ширина пограничной зоны устанавливается на глубину административной территории приграничных айыл окмоту, но не более 5000 метров.</w:t>
      </w:r>
    </w:p>
    <w:p>
      <w:pPr>
        <w:spacing w:after="120"/>
        <w:jc w:val="both"/>
      </w:pPr>
      <w:r>
        <w:rPr>
          <w:rFonts w:ascii="Arial" w:cs="Arial" w:eastAsia="Arial" w:hAnsi="Arial"/>
          <w:sz w:val="24"/>
          <w:szCs w:val="24"/>
        </w:rPr>
        <w:t xml:space="preserve">Пограничная полоса устанавливается непосредственно вдоль линии государственной границы. В горной местности, где населенные пункты отсутствуют или они расположены на значительном удалении от линии государственной границы, ширина пограничной полосы устанавливается от 5000 до 10000 метров, а в местах, где населенные пункты расположены вблизи государственной границы, - от 1000 до 2000 метров. На равнинной местности, в местах, где государственная граница проходит по населенным пунктам или населенные пункты примыкают или расположены непосредственно вблизи линии государственной границы, ширина пограничной полосы устанавливается от 10 до 500 метров. Тыльная граница пограничной полосы ограничивается линией, проходящей по характерным точкам (высотам) на местности, а в местах, где это невозможно, - ширина пограничной полосы равна указанной величине, в соответствии с перечнем территорий областных, городских, районных государственных администраций, айыл окмоту, включенных в пограничную зону. В местах, где линия границы пересекает населенные пункты, тыльная граница пограничной полосы проходит по местным ориентирам.</w:t>
      </w:r>
    </w:p>
    <w:p>
      <w:pPr>
        <w:spacing w:after="120"/>
        <w:jc w:val="both"/>
      </w:pPr>
      <w:r>
        <w:rPr>
          <w:rFonts w:ascii="Arial" w:cs="Arial" w:eastAsia="Arial" w:hAnsi="Arial"/>
          <w:sz w:val="24"/>
          <w:szCs w:val="24"/>
        </w:rPr>
        <w:t xml:space="preserve">2. В пограничной зоне, пограничной полосе Правительством Кыргызской Республики устанавливается пограничный режим, регламентирующий порядок въезда (выезда), временного пребывания, проживания, передвижения граждан и производства работ.</w:t>
      </w:r>
    </w:p>
    <w:p>
      <w:pPr>
        <w:spacing w:after="120"/>
        <w:jc w:val="both"/>
      </w:pPr>
      <w:r>
        <w:rPr>
          <w:rFonts w:ascii="Arial" w:cs="Arial" w:eastAsia="Arial" w:hAnsi="Arial"/>
          <w:sz w:val="24"/>
          <w:szCs w:val="24"/>
        </w:rPr>
        <w:t xml:space="preserve">При проведении хозяйственной, промысловой и иной деятельности, культурных и иных массовых мероприятий в пограничной полосе, с учетом интересов охраны и защиты государственной границы Кыргызской Республики уполномоченный государственный орган в сфере охраны государственной границы определяет место, время, количество участников, а также разрешительный порядок.</w:t>
      </w:r>
    </w:p>
    <w:p>
      <w:pPr>
        <w:spacing w:after="120"/>
        <w:jc w:val="both"/>
      </w:pPr>
      <w:r>
        <w:rPr>
          <w:rFonts w:ascii="Arial" w:cs="Arial" w:eastAsia="Arial" w:hAnsi="Arial"/>
          <w:sz w:val="24"/>
          <w:szCs w:val="24"/>
        </w:rPr>
        <w:t xml:space="preserve">3. На въездах в пограничную зону устанавливаются предупреждающие знаки с надписью на государственном и официальном языках.</w:t>
      </w:r>
    </w:p>
    <w:p>
      <w:pPr>
        <w:spacing w:after="120"/>
        <w:jc w:val="both"/>
      </w:pPr>
      <w:r>
        <w:rPr>
          <w:rFonts w:ascii="Arial" w:cs="Arial" w:eastAsia="Arial" w:hAnsi="Arial"/>
          <w:sz w:val="24"/>
          <w:szCs w:val="24"/>
        </w:rPr>
        <w:t xml:space="preserve">4. Разрешение на въезд, временное пребывание, проживание, передвижение, производство работ в пограничной зоне дается органами внутренних дел Кыргызской Республики с учетом условий, предусмотренных международными договорами Кыргызской Республики.</w:t>
      </w:r>
    </w:p>
    <w:p>
      <w:pPr>
        <w:spacing w:after="120"/>
        <w:jc w:val="both"/>
      </w:pPr>
      <w:r>
        <w:rPr>
          <w:rFonts w:ascii="Arial" w:cs="Arial" w:eastAsia="Arial" w:hAnsi="Arial"/>
          <w:sz w:val="24"/>
          <w:szCs w:val="24"/>
        </w:rPr>
        <w:t xml:space="preserve">5. Разрешение на въезд, временное пребывание, производство работ и проживание в пограничной полосе дает уполномоченный государственный орган в сфере охраны государственной границы.</w:t>
      </w:r>
    </w:p>
    <w:p>
      <w:pPr>
        <w:spacing w:after="120"/>
        <w:jc w:val="both"/>
      </w:pPr>
      <w:r>
        <w:rPr>
          <w:rFonts w:ascii="Arial" w:cs="Arial" w:eastAsia="Arial" w:hAnsi="Arial"/>
          <w:sz w:val="24"/>
          <w:szCs w:val="24"/>
        </w:rPr>
        <w:t xml:space="preserve">Пропуск в пограничную полосу, в полосу местности, находящуюся между линией государственной границы и линией инженерных заграждений (линией дислокации пограничных застав), лиц, не проживающих там постоянно, осуществляется с письменного разрешения начальника пограничного отряда (коменданта отдельной пограничной комендатуры) или лица, исполняющего его обязанности, только при производственной, служебной или иной необходимости на основании личных заявлений, соответствующих ходатайств, командировочных и других документов предприятий и учреждений.</w:t>
      </w:r>
    </w:p>
    <w:p>
      <w:pPr>
        <w:spacing w:after="120"/>
        <w:jc w:val="both"/>
      </w:pPr>
      <w:r>
        <w:rPr>
          <w:rFonts w:ascii="Arial" w:cs="Arial" w:eastAsia="Arial" w:hAnsi="Arial"/>
          <w:sz w:val="24"/>
          <w:szCs w:val="24"/>
        </w:rPr>
        <w:t xml:space="preserve">Пропуск в пограничную полосу, в полосу местности, находящуюся между линией государственной границы и линией инженерных заграждений (линией дислокации пограничных застав), граждан, постоянно проживающих в пограничной зоне (полосе) на участке пограничной заставы, осуществляется решением начальника пограничной заставы с предварительным докладом начальнику пограничного отряда (коменданту пограничной комендатуры).</w:t>
      </w:r>
    </w:p>
    <w:p>
      <w:pPr>
        <w:spacing w:after="120"/>
        <w:jc w:val="both"/>
      </w:pPr>
      <w:r>
        <w:rPr>
          <w:rFonts w:ascii="Arial" w:cs="Arial" w:eastAsia="Arial" w:hAnsi="Arial"/>
          <w:sz w:val="24"/>
          <w:szCs w:val="24"/>
        </w:rPr>
        <w:t xml:space="preserve">Въезд (выезд) граждан в пограничную полосу производится только на участке той пограничной заставы, которая указана в пропуске, служебном или в командировочном предписании.</w:t>
      </w:r>
    </w:p>
    <w:p>
      <w:pPr>
        <w:spacing w:after="120"/>
        <w:jc w:val="both"/>
      </w:pPr>
      <w:r>
        <w:rPr>
          <w:rFonts w:ascii="Arial" w:cs="Arial" w:eastAsia="Arial" w:hAnsi="Arial"/>
          <w:sz w:val="24"/>
          <w:szCs w:val="24"/>
        </w:rPr>
        <w:t xml:space="preserve">6. Органом, координирующим проведение мероприятий в пограничной зоне совместно с уполномоченными государственными органами в сфере иностранных дел (далее - МИД КР), внутренних дел (далее - МВД КР), таможенного дела (далее - ГТС) и по контролю наркотиков (далее - ГСКН), является уполномоченный государственный орган в сфере охраны государственной границы.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wanzekcbp0fgh7l2b-spx">
        <w:r>
          <w:rPr>
            <w:rFonts w:ascii="Arial" w:cs="Arial" w:eastAsia="Arial" w:hAnsi="Arial"/>
            <w:color w:val="1D4ED8"/>
            <w:sz w:val="24"/>
            <w:szCs w:val="24"/>
            <w:u w:val="single"/>
          </w:rPr>
          <w:t xml:space="preserve">21 января 2013 года №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Руководители предприятий, учреждений, организаций и хозяйств независимо от форм собственности обязаны в месячный срок до начала работ в пограничной полосе поставить в известность соединения и части уполномоченного государственного органа в сфере охраны государственной границы, представить поименные списки граждан, въезжающих в пограничную полосу по установленной уполномоченным государственным органом в сфере охраны государственной границы форме, согласовывать время, место и характер трудовой деятельности.</w:t>
      </w:r>
    </w:p>
    <w:p>
      <w:pPr>
        <w:spacing w:after="120"/>
        <w:jc w:val="both"/>
      </w:pPr>
      <w:r>
        <w:rPr>
          <w:rFonts w:ascii="Arial" w:cs="Arial" w:eastAsia="Arial" w:hAnsi="Arial"/>
          <w:sz w:val="24"/>
          <w:szCs w:val="24"/>
        </w:rPr>
        <w:t xml:space="preserve">8. Граждане, постоянно проживающие в пограничной зоне, осуществляют въезд в нее по документам, удостоверяющим личность.</w:t>
      </w:r>
    </w:p>
    <w:p>
      <w:pPr>
        <w:spacing w:after="120"/>
        <w:jc w:val="both"/>
      </w:pPr>
      <w:r>
        <w:rPr>
          <w:rFonts w:ascii="Arial" w:cs="Arial" w:eastAsia="Arial" w:hAnsi="Arial"/>
          <w:sz w:val="24"/>
          <w:szCs w:val="24"/>
        </w:rPr>
        <w:t xml:space="preserve">Дети до 16 лет, являющиеся жителями пограничной зоны, осуществляют въезд в пограничную зону по свидетельству о рождении, а при его отсутствии - по справке айыл окмоту, подтверждающей их проживание в пограничной зоне.</w:t>
      </w:r>
    </w:p>
    <w:p>
      <w:pPr>
        <w:spacing w:after="120"/>
        <w:jc w:val="both"/>
      </w:pPr>
      <w:r>
        <w:rPr>
          <w:rFonts w:ascii="Arial" w:cs="Arial" w:eastAsia="Arial" w:hAnsi="Arial"/>
          <w:sz w:val="24"/>
          <w:szCs w:val="24"/>
        </w:rPr>
        <w:t xml:space="preserve">9. Группы граждан следующие в пограничную зону, для оказания помощи в промышленном, сельскохозяйственном производстве, строительстве и на иные работы, а также группы туристов, бригады артистов и другие коллективы граждан, не проживающие в пограничной зоне, осуществляют въезд в эту зону по документам, удостоверяющим их личность, и по имеющимся у руководителей групп поименным спискам этих граждан, подписанными должностными лицами и заверенными гербовой печатью соответствующих предприятий, учреждений и организаций по месту въезда, с регистрацией в органах внутренних дел по месту въезда.</w:t>
      </w:r>
    </w:p>
    <w:p>
      <w:pPr>
        <w:spacing w:after="120"/>
        <w:jc w:val="both"/>
      </w:pPr>
      <w:r>
        <w:rPr>
          <w:rFonts w:ascii="Arial" w:cs="Arial" w:eastAsia="Arial" w:hAnsi="Arial"/>
          <w:sz w:val="24"/>
          <w:szCs w:val="24"/>
        </w:rPr>
        <w:t xml:space="preserve">10. Учащиеся и студенты высших, средних специальных и других учебных заведений, постоянно проживающие до выезда на учебу в пограничной зоне, осуществляют въезд в эту зону по документам, свидетельствующим обучение в учебных заведениях, и по справкам айыл окмоту, подтверждающим их выезд на учебу из населенных пунктов в пограничной зоне.</w:t>
      </w:r>
    </w:p>
    <w:p>
      <w:pPr>
        <w:spacing w:after="120"/>
        <w:jc w:val="both"/>
      </w:pPr>
      <w:r>
        <w:rPr>
          <w:rFonts w:ascii="Arial" w:cs="Arial" w:eastAsia="Arial" w:hAnsi="Arial"/>
          <w:sz w:val="24"/>
          <w:szCs w:val="24"/>
        </w:rPr>
        <w:t xml:space="preserve">11. Граждане, следующие в пограничную зону по случаю смерти (болезни) родственников, осуществляют въезд в эту зону по документам, удостоверяющим их личность, и по заверенным лечебным учреждением соответствующим телеграммам (справкам), а при следовании к месту захоронения родственников - по справкам айыл окмоту.</w:t>
      </w:r>
    </w:p>
    <w:p>
      <w:pPr>
        <w:spacing w:after="120"/>
        <w:jc w:val="both"/>
      </w:pPr>
      <w:r>
        <w:rPr>
          <w:rFonts w:ascii="Arial" w:cs="Arial" w:eastAsia="Arial" w:hAnsi="Arial"/>
          <w:sz w:val="24"/>
          <w:szCs w:val="24"/>
        </w:rPr>
        <w:t xml:space="preserve">12. В случаях, когда в пределах пограничной зоны расположены административные центры, школы, больницы, другие учреждения, предприятия и организации, а часть обслуживаемых ими граждан проживает за пределами пограничной зоны, въезд в пограничную зону этим гражданам разрешается по документам, удостоверяющим их личность, и справкам, подтверждающим их работу в вышеперечисленных организациях и учреждениях.</w:t>
      </w:r>
    </w:p>
    <w:p>
      <w:pPr>
        <w:spacing w:after="120"/>
        <w:jc w:val="both"/>
      </w:pPr>
      <w:r>
        <w:rPr>
          <w:rFonts w:ascii="Arial" w:cs="Arial" w:eastAsia="Arial" w:hAnsi="Arial"/>
          <w:sz w:val="24"/>
          <w:szCs w:val="24"/>
        </w:rPr>
        <w:t xml:space="preserve">13. Работники предприятий и организаций, осуществляющие местные и международные перевозки, либо обеспечивающие ремонт и эксплуатацию шоссейных дорог, соответствующих транспортных средств, ирригационных сооружений, линий связи и электропередач, осуществляют въезд в пограничную зону по служебным (командировочным) удостоверениям и документам, удостоверяющим личность.</w:t>
      </w:r>
    </w:p>
    <w:p>
      <w:pPr>
        <w:spacing w:after="120"/>
        <w:jc w:val="both"/>
      </w:pPr>
      <w:r>
        <w:rPr>
          <w:rFonts w:ascii="Arial" w:cs="Arial" w:eastAsia="Arial" w:hAnsi="Arial"/>
          <w:sz w:val="24"/>
          <w:szCs w:val="24"/>
        </w:rPr>
        <w:t xml:space="preserve">14. Граждане, командируемые в установленном порядке в населенные пункты, расположенные в пограничной зоне, осуществляют въезд в нее по документам, удостоверяющим личность и командировочным удостоверениям с регистрацией в органах внутренних дел по месту выезда.</w:t>
      </w:r>
    </w:p>
    <w:p>
      <w:pPr>
        <w:spacing w:after="120"/>
        <w:jc w:val="both"/>
      </w:pPr>
      <w:r>
        <w:rPr>
          <w:rFonts w:ascii="Arial" w:cs="Arial" w:eastAsia="Arial" w:hAnsi="Arial"/>
          <w:sz w:val="24"/>
          <w:szCs w:val="24"/>
        </w:rPr>
        <w:t xml:space="preserve">15. Военнослужащие уполномоченных государственных органов в сфере охраны государственной границы, обороны, внутренних войск МВД КР, национальной безопасности (далее - ГКНБ КР), сотрудники МИД КР, МВД КР, ГСКН, ГТС, органов судов и прокуратуры Кыргызской Республики, уполномоченного государственного органа в сфере охраны окружающей среды и лесного хозяйства осуществляют въезд в пограничную зону по документам, удостоверяющим их личность, служебным предписаниям, командировочным или отпускным документам.</w:t>
      </w:r>
    </w:p>
    <w:p>
      <w:pPr>
        <w:spacing w:after="120"/>
        <w:jc w:val="both"/>
      </w:pPr>
      <w:r>
        <w:rPr>
          <w:rFonts w:ascii="Arial" w:cs="Arial" w:eastAsia="Arial" w:hAnsi="Arial"/>
          <w:sz w:val="24"/>
          <w:szCs w:val="24"/>
        </w:rPr>
        <w:t xml:space="preserve">Члены семей указанных лиц, следующие в пограничную зону вместе с главой семьи, вписываются в служебное предписание или отпускной билет последнего, а следующие самостоятельно к указанным лицам, - въезжают по документам, удостоверяющим личность, и по справкам, выдаваемым с места службы главы семьи.</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jztp3yaj9bv3uknhpoadn">
        <w:r>
          <w:rPr>
            <w:rFonts w:ascii="Arial" w:cs="Arial" w:eastAsia="Arial" w:hAnsi="Arial"/>
            <w:color w:val="1D4ED8"/>
            <w:sz w:val="24"/>
            <w:szCs w:val="24"/>
            <w:u w:val="single"/>
          </w:rPr>
          <w:t xml:space="preserve">12 августа 2004 года № 606</w:t>
        </w:r>
      </w:hyperlink>
      <w:r>
        <w:rPr>
          <w:rFonts w:ascii="Arial" w:cs="Arial" w:eastAsia="Arial" w:hAnsi="Arial"/>
          <w:sz w:val="24"/>
          <w:szCs w:val="24"/>
        </w:rPr>
        <w:t xml:space="preserve">, </w:t>
      </w:r>
      <w:hyperlink w:history="1" r:id="rIdsehwr_e_ir-dmsq_wrfgt">
        <w:r>
          <w:rPr>
            <w:rFonts w:ascii="Arial" w:cs="Arial" w:eastAsia="Arial" w:hAnsi="Arial"/>
            <w:color w:val="1D4ED8"/>
            <w:sz w:val="24"/>
            <w:szCs w:val="24"/>
            <w:u w:val="single"/>
          </w:rPr>
          <w:t xml:space="preserve">25 октября 2004 года № 777</w:t>
        </w:r>
      </w:hyperlink>
      <w:r>
        <w:rPr>
          <w:rFonts w:ascii="Arial" w:cs="Arial" w:eastAsia="Arial" w:hAnsi="Arial"/>
          <w:sz w:val="24"/>
          <w:szCs w:val="24"/>
        </w:rPr>
        <w:t xml:space="preserve">, </w:t>
      </w:r>
      <w:hyperlink w:history="1" r:id="rIdvnjdf3upwqzy50ncrfvbc">
        <w:r>
          <w:rPr>
            <w:rFonts w:ascii="Arial" w:cs="Arial" w:eastAsia="Arial" w:hAnsi="Arial"/>
            <w:color w:val="1D4ED8"/>
            <w:sz w:val="24"/>
            <w:szCs w:val="24"/>
            <w:u w:val="single"/>
          </w:rPr>
          <w:t xml:space="preserve">21 января 2013 года №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Военнослужащие, уволенные из рядов Вооруженных Сил Кыргызской Республики, органов МВД КР, МЮ КР, осуществляют въезд в пограничную зону по служебным предписаниям или проходным свидетельствам, если они были призваны из той местности или имеют там близких родственников.</w:t>
      </w:r>
    </w:p>
    <w:p>
      <w:pPr>
        <w:spacing w:after="120"/>
        <w:jc w:val="both"/>
      </w:pPr>
      <w:r>
        <w:rPr>
          <w:rFonts w:ascii="Arial" w:cs="Arial" w:eastAsia="Arial" w:hAnsi="Arial"/>
          <w:sz w:val="24"/>
          <w:szCs w:val="24"/>
        </w:rPr>
        <w:t xml:space="preserve">17. Участники Великой Отечественной войны и лица, приравненные к ним по льготам, осуществляют въезд в пограничную зону по документам, удостоверяющим их личность, и удостоверениям участников Великой Отечественной войны (свидетельствам о праве на льготы).</w:t>
      </w:r>
    </w:p>
    <w:p>
      <w:pPr>
        <w:spacing w:after="120"/>
        <w:jc w:val="both"/>
      </w:pPr>
      <w:r>
        <w:rPr>
          <w:rFonts w:ascii="Arial" w:cs="Arial" w:eastAsia="Arial" w:hAnsi="Arial"/>
          <w:sz w:val="24"/>
          <w:szCs w:val="24"/>
        </w:rPr>
        <w:t xml:space="preserve">18. Въезд лиц, условно осужденных или условно освобожденных из мест лишения свободы с обязательным привлечением к труду, а также осужденных с отсрочкой исполнения приговора в пределах пограничной зоны, осуществляется в общеустановленном порядке и в исключительных случаях разрешается по согласованию с соответствующими органами ГКНБ.</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k2die4lwhcfircd6jelmc">
        <w:r>
          <w:rPr>
            <w:rFonts w:ascii="Arial" w:cs="Arial" w:eastAsia="Arial" w:hAnsi="Arial"/>
            <w:color w:val="1D4ED8"/>
            <w:sz w:val="24"/>
            <w:szCs w:val="24"/>
            <w:u w:val="single"/>
          </w:rPr>
          <w:t xml:space="preserve">21 января 2013 года №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Въезд в пограничную зону и пребывание в ней постоянно проживающих или временно находящихся в Кыргызской Республике иностранных граждан и лиц без гражданства осуществляется в общеустановленном порядке. Во всех случаях разрешение на их въезд в пограничную зону и пребывание в ней дается по согласованию с соответствующими органами ГКНБ.</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r3c70403ptqqnej1hoxxx">
        <w:r>
          <w:rPr>
            <w:rFonts w:ascii="Arial" w:cs="Arial" w:eastAsia="Arial" w:hAnsi="Arial"/>
            <w:color w:val="1D4ED8"/>
            <w:sz w:val="24"/>
            <w:szCs w:val="24"/>
            <w:u w:val="single"/>
          </w:rPr>
          <w:t xml:space="preserve">21 января 2013 года №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На территории свободных экономических зон действует упрощенный режим въезда и выезда иностранных граждан. Конкретные правила въезда и выезда устанавливаются для каждой зоны МИД КР и отражаются в Положении о свободно-экономической зоне.</w:t>
      </w:r>
    </w:p>
    <w:p>
      <w:pPr>
        <w:spacing w:after="120"/>
        <w:jc w:val="both"/>
      </w:pPr>
      <w:r>
        <w:rPr>
          <w:rFonts w:ascii="Arial" w:cs="Arial" w:eastAsia="Arial" w:hAnsi="Arial"/>
          <w:sz w:val="24"/>
          <w:szCs w:val="24"/>
        </w:rPr>
        <w:t xml:space="preserve">21. Граждане Кыргызской Республики, находящиеся за границей по служебным, общественным и частным делам, на лечении, отдыхе либо в качестве туристов, при въезде в Кыргызскую Республику следуют к месту своего постоянного жительства, расположенному в пограничной зоне, по заграничным паспортам или свидетельствам на возвращение.</w:t>
      </w:r>
    </w:p>
    <w:p>
      <w:pPr>
        <w:spacing w:after="120"/>
        <w:jc w:val="both"/>
      </w:pPr>
      <w:r>
        <w:rPr>
          <w:rFonts w:ascii="Arial" w:cs="Arial" w:eastAsia="Arial" w:hAnsi="Arial"/>
          <w:sz w:val="24"/>
          <w:szCs w:val="24"/>
        </w:rPr>
        <w:t xml:space="preserve">22. Пассажирам, следующим транзитом через пограничную зону за границу, имеющим документы на право пересечения границы Кыргызской Республики, разрешается проезд по документам, удостоверяющим их личность.</w:t>
      </w:r>
    </w:p>
    <w:p>
      <w:pPr>
        <w:spacing w:after="120"/>
        <w:jc w:val="both"/>
      </w:pPr>
      <w:r>
        <w:rPr>
          <w:rFonts w:ascii="Arial" w:cs="Arial" w:eastAsia="Arial" w:hAnsi="Arial"/>
          <w:sz w:val="24"/>
          <w:szCs w:val="24"/>
        </w:rPr>
        <w:t xml:space="preserve">23. Водители транспортных средств, допустившие провоз пассажиров в пограничную зону без документов на право въезда, несут за это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24. Порядок пребывания охотопользователей в пограничной зоне согласовывается с уполномоченным государственным органом в сфере охраны государственной границы.</w:t>
      </w:r>
    </w:p>
    <w:p>
      <w:pPr>
        <w:spacing w:after="120"/>
        <w:jc w:val="both"/>
      </w:pPr>
      <w:r>
        <w:rPr>
          <w:rFonts w:ascii="Arial" w:cs="Arial" w:eastAsia="Arial" w:hAnsi="Arial"/>
          <w:sz w:val="24"/>
          <w:szCs w:val="24"/>
        </w:rPr>
        <w:t xml:space="preserve">25. Охота в пограничной полосе запрещается.</w:t>
      </w:r>
    </w:p>
    <w:p>
      <w:pPr>
        <w:spacing w:after="120"/>
        <w:jc w:val="both"/>
      </w:pPr>
      <w:r>
        <w:rPr>
          <w:rFonts w:ascii="Arial" w:cs="Arial" w:eastAsia="Arial" w:hAnsi="Arial"/>
          <w:sz w:val="24"/>
          <w:szCs w:val="24"/>
        </w:rPr>
        <w:t xml:space="preserve">26. В пределах пограничной зоны могут осуществляться:</w:t>
      </w:r>
    </w:p>
    <w:p>
      <w:pPr>
        <w:spacing w:after="120"/>
        <w:jc w:val="both"/>
      </w:pPr>
      <w:r>
        <w:rPr>
          <w:rFonts w:ascii="Arial" w:cs="Arial" w:eastAsia="Arial" w:hAnsi="Arial"/>
          <w:sz w:val="24"/>
          <w:szCs w:val="24"/>
        </w:rPr>
        <w:t xml:space="preserve">а) полеты всех типов воздушных судов и аэрофотосъемка - с разрешения Министерства обороны Кыргызской Республики;</w:t>
      </w:r>
    </w:p>
    <w:p>
      <w:pPr>
        <w:spacing w:after="120"/>
        <w:jc w:val="both"/>
      </w:pPr>
      <w:r>
        <w:rPr>
          <w:rFonts w:ascii="Arial" w:cs="Arial" w:eastAsia="Arial" w:hAnsi="Arial"/>
          <w:sz w:val="24"/>
          <w:szCs w:val="24"/>
        </w:rPr>
        <w:t xml:space="preserve">б) геологические, гидротехнические и иные изыскания, а также гидротехнические, дорожные, геодезические, топографические, мелиоративные и другие работы, связанные с изменением водного режима пограничных рек, озер, других водоемов, кинофотосъемка местности (в пределах пограничной полосы) - по разрешению уполномоченного государственного органа в сфере охраны государственной границы.</w:t>
      </w:r>
    </w:p>
    <w:p>
      <w:pPr>
        <w:spacing w:after="120"/>
        <w:jc w:val="both"/>
      </w:pPr>
      <w:r>
        <w:rPr>
          <w:rFonts w:ascii="Arial" w:cs="Arial" w:eastAsia="Arial" w:hAnsi="Arial"/>
          <w:sz w:val="24"/>
          <w:szCs w:val="24"/>
        </w:rPr>
        <w:t xml:space="preserve">27. Строительство и другие работы в пограничной полосе, за исключением работ на стройках, осуществляемых в соответствии с международными договорами, стройках оборонного значения, работ, связанных с ликвидацией стихийных бедствия и осуществлением мер по борьбе с особо опасными инфекционными болезнями, производятся с согласия уполномоченного государственного органа в сфере охраны государственной границы.</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3o2tsu7hcys-esm08u8u" Type="http://schemas.openxmlformats.org/officeDocument/2006/relationships/hyperlink" Target="http://kodeks.duckdns.org/document/55394" TargetMode="External"/><Relationship Id="rIdjqclplafdu-cpuw5hvduf" Type="http://schemas.openxmlformats.org/officeDocument/2006/relationships/hyperlink" Target="http://kodeks.duckdns.org/document/55728" TargetMode="External"/><Relationship Id="rIdekoyfeoyyiw81zf4xaj9n" Type="http://schemas.openxmlformats.org/officeDocument/2006/relationships/hyperlink" Target="http://kodeks.duckdns.org/document/40478" TargetMode="External"/><Relationship Id="rIdsauaw09bkuawbyhuwwl7n" Type="http://schemas.openxmlformats.org/officeDocument/2006/relationships/hyperlink" Target="http://kodeks.duckdns.org/document/31749" TargetMode="External"/><Relationship Id="rIdd9mpdjrhlg0z6p26rnj6y" Type="http://schemas.openxmlformats.org/officeDocument/2006/relationships/hyperlink" Target="http://kodeks.duckdns.org/document/57664" TargetMode="External"/><Relationship Id="rId9qvprkwadkdanaqhp_gwr" Type="http://schemas.openxmlformats.org/officeDocument/2006/relationships/hyperlink" Target="http://kodeks.duckdns.org/document/90993" TargetMode="External"/><Relationship Id="rIdnhdwucncrywphvha_7zi8" Type="http://schemas.openxmlformats.org/officeDocument/2006/relationships/hyperlink" Target="http://kodeks.duckdns.org/document/95437" TargetMode="External"/><Relationship Id="rIdew-mszvyrfusktz2tyutj" Type="http://schemas.openxmlformats.org/officeDocument/2006/relationships/hyperlink" Target="http://kodeks.duckdns.org/document/94120" TargetMode="External"/><Relationship Id="rIdwanzekcbp0fgh7l2b-spx" Type="http://schemas.openxmlformats.org/officeDocument/2006/relationships/hyperlink" Target="http://kodeks.duckdns.org/document/94120" TargetMode="External"/><Relationship Id="rIdjztp3yaj9bv3uknhpoadn" Type="http://schemas.openxmlformats.org/officeDocument/2006/relationships/hyperlink" Target="http://kodeks.duckdns.org/document/55728" TargetMode="External"/><Relationship Id="rIdsehwr_e_ir-dmsq_wrfgt" Type="http://schemas.openxmlformats.org/officeDocument/2006/relationships/hyperlink" Target="http://kodeks.duckdns.org/document/40478" TargetMode="External"/><Relationship Id="rIdvnjdf3upwqzy50ncrfvbc" Type="http://schemas.openxmlformats.org/officeDocument/2006/relationships/hyperlink" Target="http://kodeks.duckdns.org/document/94120" TargetMode="External"/><Relationship Id="rIdk2die4lwhcfircd6jelmc" Type="http://schemas.openxmlformats.org/officeDocument/2006/relationships/hyperlink" Target="http://kodeks.duckdns.org/document/94120" TargetMode="External"/><Relationship Id="rIdr3c70403ptqqnej1hoxxx" Type="http://schemas.openxmlformats.org/officeDocument/2006/relationships/hyperlink" Target="http://kodeks.duckdns.org/document/94120" TargetMode="External"/><Relationship Id="rId7" Type="http://schemas.openxmlformats.org/officeDocument/2006/relationships/image" Target="media/93bec1c1538034512fe33c1434ae0ea86b639d33.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2026-09-23T14:35:12.820Z</dcterms:created>
  <dcterms:modified xsi:type="dcterms:W3CDTF">2026-09-23T14:35:12.820Z</dcterms:modified>
</cp:coreProperties>
</file>

<file path=docProps/custom.xml><?xml version="1.0" encoding="utf-8"?>
<Properties xmlns="http://schemas.openxmlformats.org/officeDocument/2006/custom-properties" xmlns:vt="http://schemas.openxmlformats.org/officeDocument/2006/docPropsVTypes"/>
</file>