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ugjracs61yukhq9u3ubh">
        <w:r>
          <w:rPr>
            <w:rFonts w:ascii="Arial" w:cs="Arial" w:eastAsia="Arial" w:hAnsi="Arial"/>
            <w:color w:val="1D4ED8"/>
            <w:sz w:val="24"/>
            <w:szCs w:val="24"/>
            <w:u w:val="single"/>
          </w:rPr>
          <w:t xml:space="preserve">3 апреля 2006 года № 215</w:t>
        </w:r>
      </w:hyperlink>
      <w:r>
        <w:rPr>
          <w:rFonts w:ascii="Arial" w:cs="Arial" w:eastAsia="Arial" w:hAnsi="Arial"/>
          <w:sz w:val="24"/>
          <w:szCs w:val="24"/>
        </w:rPr>
        <w:t xml:space="preserve">)                                                        Утверждено                                          </w:t>
      </w:r>
      <w:hyperlink w:history="1" r:id="rIdmrx1fx9gheblhf8l6ik6w">
        <w:r>
          <w:rPr>
            <w:rFonts w:ascii="Arial" w:cs="Arial" w:eastAsia="Arial" w:hAnsi="Arial"/>
            <w:color w:val="1D4ED8"/>
            <w:sz w:val="24"/>
            <w:szCs w:val="24"/>
            <w:u w:val="single"/>
          </w:rPr>
          <w:t xml:space="preserve">постановлением Правительства</w:t>
        </w:r>
      </w:hyperlink>
      <w:r>
        <w:rPr>
          <w:rFonts w:ascii="Arial" w:cs="Arial" w:eastAsia="Arial" w:hAnsi="Arial"/>
          <w:sz w:val="24"/>
          <w:szCs w:val="24"/>
        </w:rPr>
        <w:t xml:space="preserve">                                               Кыргызской Республики                                           от 21 июня 2004 года N 457                                                        Приложение                                         к постановлению Правительства                                                 Кыргызской Республики                                            от 31 января 2005 год № 43                                                       (В редакции </w:t>
      </w:r>
      <w:hyperlink w:history="1" r:id="rId4jbc9qyrqpss8ex_nky1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31 января 2005 года №43)                            ВРЕМЕННОЕ ПОЛОЖЕНИЕ            о порядке вывоза за пределы Кыргызской Республики             станков, оборудования и запасных частей к ним    1.  Настоящее  временное  положение  о  порядке  вывоза  за  пределыКыргызской  Республики станков, оборудования и запасных частей  к  ним(далее  -  временное положение) определяет порядок  вывоза  (передачи,обмена)  станков, оборудования, специализированной техники и  запасныхчастей  к  ним  (далее  - оборудование) из Кыргызской  Республики,  заисключением   станков  и  оборудования,  произведенных  в   КыргызскойРеспублике.  2.   Требования   временного  положения  распространяются   на   всехозяйствующие субъекты независимо от форм собственности.  3. Порядок контроля за вывозом оборудования из Кыргызской Республикипредусматривает:  - подготовку и выдачу заключения о возможности вывоза оборудования;  -   таможенный   контроль   и   таможенное   оформление   вывозимогооборудования.  4.  Основанием для вывоза оборудования, включая временный вывоз,  запределы Кыргызской Республики является заключение о возможности вывоза(передачи, обмена) оборудования, выданное Министерством экономическогоразвития,    промышленности   и   торговли   Кыргызской    Республики,подготовленное в соответствии с настоящим временным положением.  5.  Документы,  необходимые для подготовки заключения о  возможностивывоза    оборудования,   включая   временный   вывоз,    определяютсяМинистерством  экономического  развития,  промышленности  и   торговлиКыргызской Республики.  6.  Ответственность  за  достоверность  сведений,  представленных  взаявке на выдачу заключения о возможном вывозе оборудования, несет самзаявитель.  7.  Министерство экономического развития, промышленности и  торговлиКыргызской   Республики  в  трехдневный  срок  после  получения   всехправильно  оформленных  необходимых  документов  направляет   их   длярассмотрения  и дачи заключения в Комитет по доходам при  Министерствефинансов  Кыргызской  Республики, Государственный  комитет  КыргызскойРеспублики по управлению государственным имуществом.  При     необходимости    Министерство    экономического    развития,промышленности и торговли Кыргызской Республики имеет право привлекатьдругие  министерства,  ведомства  в  качестве  экспертов  относительноцелесообразности вывоза (передачи, обмена) оборудования.  Заключения  Комитета по доходам при Министерстве финансов КыргызскойРеспублики,   Государственного  комитета  Кыргызской   Республики   поуправлению    государственным   имуществом   и    привлекаемых,    принеобходимости, министерств и ведомств о возможности вывоза  (передачи,обмена)   оборудования   представляются  Министерству   экономическогоразвития, промышленности и торговли Кыргызской Республики в течение 10дней после получения соответствующих документов.  Министерство  экономического  развития,  промышленности  и  торговлиКыргызской Республики на основании представленных Комитетом по доходампри   Министерстве  финансов  Кыргызской  Республики,  Государственнымкомитетом   Кыргызской   Республики  по   управлению   государственнымимуществом  и привлекаемых, при необходимости, министерств,  ведомств,заключений  подготавливает  единое  заключение  о  возможности  вывозаоборудования за пределы Кыргызской Республики.  Заключение  Министерства экономического развития,  промышленности  иторговли Кыргызской Республики выдается не позднее чем через  30  днейпосле получения всех правильно оформленных необходимых документов.  8.   Основанием   для   выдачи   единого   заключения   Министерстваэкономического   развития,  промышленности   и   торговли   КыргызскойРеспублики  о  возможном вывозе оборудования, в том  числе  временноговывоза,  являются  положительные заключения Комитета  по  доходам  приМинистерстве финансов Кыргызской Республики, Государственного комитетаКыргызской  Республики  по  управлению  государственным  имуществом  ипривлекаемых, при необходимости, министерств, ведомств.  Единое     заключение    Министерства    экономического    развития,промышленности и торговли Кыргызской Республики о вывозе  и  временномвывозе    оборудования   направляется   заявителю   для   последующеготаможенного оформления.  Вывозимое   оборудование  при  перемещении  за  пределы   КыргызскойРеспублики  подлежит обязательному таможенному оформлению  в  порядке,установленным таможенным законодательством Кыргызской Республики.  Заявитель  представляет  таможенным органам заключение  Министерстваэкономического   развития,  промышленности   и   торговли   КыргызскойРеспублики,  которое  служит основанием для пропуска  оборудования  запределы Кыргызской Республики.  Департамент  таможенной службы Комитета по доходам при  Министерствефинансов     Кыргызской    Республики    представляет     Министерствуэкономического   развития,  промышленности   и   торговли   КыргызскойРеспублики  и  Службе национальной безопасности Кыргызской  Республикиинформацию  по  согласованной форме о вывозе оборудования  за  пределыКыргызской  Республики  или  его обратном ввозе  в  случае  временноговывоза.  9.  Лица,  осуществляющие вывоз оборудования с  нарушением  порядка,установленного настоящим временным положением, несут ответственность всоответствии с законодательством Кыргызской Республики.    Руководитель Аппарата Премьер-министра  Министр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yrytnj4ltxd2iacn193">
      <w:r>
        <w:rPr>
          <w:rFonts w:ascii="Arial" w:cs="Arial" w:eastAsia="Arial" w:hAnsi="Arial"/>
          <w:color w:val="132D3F"/>
          <w:sz w:val="16"/>
          <w:szCs w:val="16"/>
          <w:u w:val="single"/>
        </w:rPr>
        <w:t xml:space="preserve">dalil.kg/document/55497</w:t>
      </w:r>
    </w:hyperlink>
  </w:p>
  <w:p>
    <w:pPr>
      <w:spacing w:after="0" w:before="40"/>
      <w:jc w:val="center"/>
    </w:pPr>
    <w:hyperlink w:history="1" r:id="rIdtiown26g8b5entbqpah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gjracs61yukhq9u3ubh" Type="http://schemas.openxmlformats.org/officeDocument/2006/relationships/hyperlink" Target="https://dalil.kg/document/57277" TargetMode="External"/><Relationship Id="rIdmrx1fx9gheblhf8l6ik6w" Type="http://schemas.openxmlformats.org/officeDocument/2006/relationships/hyperlink" Target="https://dalil.kg/document/55496" TargetMode="External"/><Relationship Id="rId4jbc9qyrqpss8ex_nky1p" Type="http://schemas.openxmlformats.org/officeDocument/2006/relationships/hyperlink" Target="https://dalil.kg/document/561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yrytnj4ltxd2iacn193" Type="http://schemas.openxmlformats.org/officeDocument/2006/relationships/hyperlink" Target="https://dalil.kg/document/55497" TargetMode="External"/><Relationship Id="rIdtiown26g8b5entbqpah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2026-09-24T08:16:36.695Z</dcterms:created>
  <dcterms:modified xsi:type="dcterms:W3CDTF">2026-09-24T08:16:36.695Z</dcterms:modified>
</cp:coreProperties>
</file>

<file path=docProps/custom.xml><?xml version="1.0" encoding="utf-8"?>
<Properties xmlns="http://schemas.openxmlformats.org/officeDocument/2006/custom-properties" xmlns:vt="http://schemas.openxmlformats.org/officeDocument/2006/docPropsVTypes"/>
</file>