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к </w:t>
      </w:r>
      <w:hyperlink w:history="1" r:id="rIdfalcwc9wrgdob2cwsv40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июля 2004 года № 560                             Примерный порядок   взаимодействия региональных товаропроизводителей, товарной биржи,            распределительных центров, банков, предприятий, организаций и физических лиц при их участии на добровольной основе в         межрегиональной товаропроводящей системе «Бишкекские                             контракты»                                     В     целях     увеличения     продажи     товаров     отечественныхтоваропроизводителей,   формирования   ассортимента   продукции    дляпредприятий  торговли,  общественного питания, организации  системногоподхода  по  ее продвижению на Бишкекский и внешние рынки,  финансово-расчетного   обеспечения   участников   системы   товародвижения,    -взаимодействуют на основе настоящего примерного порядка.  Региональные  поставщики-товаропроизводители  независимо   от   формсобственности,   физические  и  юридические  лица,   включая   страны-участницы Содружества Независимых Государств и дальнего зарубежья,  надобровольной  основе  подают заявки на продажу и  покупку  товаров  наБишкекский и внешние рынки через биржевые торги, на товарную биржу.  В  заявках  указываются  ассортимент,  количество  товаров,  оптовыесвободные отпускные цены, сроки и периодичность поставок.  Региональные  поставщики-товаропроизводители  продают  продукцию   всоответствии  с  заключаемыми трехсторонними договорами:  поставщик  -товаропроизводитель  -  товарная биржа -  распределительные  центры  -потребитель.  Приоритетным      правом      поставок     товаров      региональныхтоваропроизводителей в рамках межрегиональной товаропроводящей системы«Бишкекские контракты» признается добровольная сертификация продукции.  Региональные товаропроизводители доставляют партии продукции в любомколичестве   и  ассортименте  на  распределительные  центры,   которыереализуются через биржевые торги.  Товарная   биржа,   в   порядке  установленном  </w:t>
      </w:r>
      <w:hyperlink w:history="1" r:id="rIdnkilavxumkcyks0fztih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товарной  бирже  и  биржевой  торговле  в  КыргызскойРеспублике»,  организует проведение биржевых  торгов  и  аукционов  попродаже   продукции  региональных  товаропроизводителей   предприятиямторговли,  общественного  питания,  государственным  закупщикам   (длягосударственных нужд по статье «Питание»), другим участникам,  включаяфизические  и юридические лица стран-участниц Содружества  НезависимыхГосударств   и  дальнего  зарубежья,  что  подтверждается  заключениемдоговоров между ними по биржевым сделкам.  Цена  на  продукцию  и  товары определяется в ходе  биржевых  торгов(аукционов) по спросу и предложениям (немонопольное ценообразование).  Сделки регистрируются на товарной бирже.  Информация   о  заключенных  договорах  направляется   в   расчетнуюклиринговую   палату   товарной  биржи  для   проведения   безналичныхвзаиморасчетов   по   биржевым  сделкам  между  участниками   биржевойторговле.  На межрегиональных биржевых торгах мелкие партии объединяются в пулы-лоты,  которые  соответствуют  объемам биржевой  оптовой  торговли  навнешние рынки.  Распределительные  центры обеспечивают хранение и  реализацию  любыхвидов   товаров,  производимых  в  Кыргызской  Республике,   в   любомколичестве и широком ассортименте.  Деятельность  распределительных  центров  осуществляется  на  основедоговора  с  региональными  поставщиками  -  товаропроизводителями   итоварной   биржей,  который  предусматривает  последующую   реализациюпродукции и товаров через биржевые торги.  Основные   требования  функционирования  распределительных   центроввключают:  -  наличие  опыта  работы  у  оптового  предприятия  в  области  егодеятельности;  -  наличие складов для хранения товаров площадью не менее 5  тыс.кв.метров или емкостью холодильников не менее 1000 куб. метров;  - применение информационно-коммуникационных технологий;  - наличие квалифицированного персонала;    возможность    оказания    услуг    предприятиям,    организациями физическим лицам по:    погрузо-разгрузочным работам;    организации автомобильных стоянок;    охране товаров;    расчетно-кассовым услугам;    обеспечению противопожарной безопасности;    информации о конъюнктуре товаров.  Финансово-расчетное   обеспечение   осуществляется    уполномоченным(обслуживающим)  банком, в котором имеется счет Расчетной  клиринговойпалаты товарной биржи.  Расчетная  клиринговая  палата товарной биржи  открывает  участникамбиржевых торгов субсчета, предназначенные для торговых операций.  «Торговые»  счета  необходимы  для  перечисления  страховых  сумм  ииспользуются  для  регулирования позиций участников  биржевых  торгов.Счет  является  «нейтральным» для расчетов по отдельным  операциям  запродукцию.  В  целях  повышения  заинтересованности  участия  в  межрегиональнойтоваропроводящей системе «Бишкекские контракты» участники торгов могутвоспользоваться инструментами финансирования торговых  операций  через         гарантию клиринговой  палаты товарной биржи или банковской  гарантии,аккредитива, краткосрочного кредитования и др.  Предприятия   торговли  и  общественного  питания,   государственныезакупщики  (для  государственных нужд  по  статье  «Питание»),  другиеучастники,   включая  физические  и  юридические  лица  стран-участницСодружества  Независимых  Государств и дальнего  зарубежья,  в  рамкахмежрегиональной  товаропроводящей системы «Бишкекские  контракты»,  порезультату   биржевых  торгов,  могут  получать  из  распределительныхцентров мелкие партии разных видов продукции в широком ассортименте, споставкой в разные сроки по согласованному графику.  Расчеты с поставщиками ведутся со специально открытых для этих целейсубсчетов  смета  Расчетной клиринговой палаты  товарной  биржи  черезуполномоченный (обслуживающий) банк для участников, заинтересованных вмежрегиональной товаропроводящей системе «Бишкекские контракты».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_msck7nv_dmqonspcoq">
      <w:r>
        <w:rPr>
          <w:rFonts w:ascii="Arial" w:cs="Arial" w:eastAsia="Arial" w:hAnsi="Arial"/>
          <w:color w:val="132D3F"/>
          <w:sz w:val="16"/>
          <w:szCs w:val="16"/>
          <w:u w:val="single"/>
        </w:rPr>
        <w:t xml:space="preserve">dalil.kg/document/55625</w:t>
      </w:r>
    </w:hyperlink>
  </w:p>
  <w:p>
    <w:pPr>
      <w:spacing w:after="0" w:before="40"/>
      <w:jc w:val="center"/>
    </w:pPr>
    <w:hyperlink w:history="1" r:id="rIdkgkpfk33gitjf7qm36by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lcwc9wrgdob2cwsv40l" Type="http://schemas.openxmlformats.org/officeDocument/2006/relationships/hyperlink" Target="https://dalil.kg/document/55624" TargetMode="External"/><Relationship Id="rIdnkilavxumkcyks0fztihh" Type="http://schemas.openxmlformats.org/officeDocument/2006/relationships/hyperlink" Target="https://dalil.kg/document/8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_msck7nv_dmqonspcoq" Type="http://schemas.openxmlformats.org/officeDocument/2006/relationships/hyperlink" Target="https://dalil.kg/document/55625" TargetMode="External"/><Relationship Id="rIdkgkpfk33gitjf7qm36by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2026-09-23T23:46:46.686Z</dcterms:created>
  <dcterms:modified xsi:type="dcterms:W3CDTF">2026-09-23T23:46:46.686Z</dcterms:modified>
</cp:coreProperties>
</file>

<file path=docProps/custom.xml><?xml version="1.0" encoding="utf-8"?>
<Properties xmlns="http://schemas.openxmlformats.org/officeDocument/2006/custom-properties" xmlns:vt="http://schemas.openxmlformats.org/officeDocument/2006/docPropsVTypes"/>
</file>