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fp4rfp5ioffyyjoczv7l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августа 2015 года N 564</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11 марта 2005 года № 123</w:t>
      </w:r>
    </w:p>
    <w:p>
      <w:pPr>
        <w:spacing w:after="480" w:before="200"/>
        <w:jc w:val="center"/>
      </w:pPr>
      <w:r>
        <w:rPr>
          <w:rFonts w:ascii="Arial" w:cs="Arial" w:eastAsia="Arial" w:hAnsi="Arial"/>
          <w:b/>
          <w:bCs/>
          <w:sz w:val="28"/>
          <w:szCs w:val="28"/>
        </w:rPr>
        <w:t xml:space="preserve">О мерах по реализации требований Таможенного кодекса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В соответствии с пунктом 2 статьи 7 Таможенного </w:t>
      </w:r>
      <w:hyperlink w:history="1" r:id="rIdw-khj5hf1jydoouypsgb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     1. Утвердить прилагаемые:</w:t>
      </w:r>
    </w:p>
    <w:p>
      <w:pPr>
        <w:spacing w:after="120"/>
        <w:ind w:firstLine="397"/>
        <w:jc w:val="both"/>
      </w:pPr>
      <w:r>
        <w:rPr>
          <w:rFonts w:ascii="Arial" w:cs="Arial" w:eastAsia="Arial" w:hAnsi="Arial"/>
          <w:sz w:val="24"/>
          <w:szCs w:val="24"/>
        </w:rPr>
        <w:t xml:space="preserve">     - </w:t>
      </w:r>
      <w:hyperlink w:history="1" r:id="rIdgq7d-u4wwt8v_pe2pzl4c">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порядку  и условиям включения банков и страховых организаций в Реестр банков и страховых организаций, а также по порядку его ведения;</w:t>
      </w:r>
    </w:p>
    <w:p>
      <w:pPr>
        <w:spacing w:after="120"/>
        <w:ind w:firstLine="397"/>
        <w:jc w:val="both"/>
      </w:pPr>
      <w:r>
        <w:rPr>
          <w:rFonts w:ascii="Arial" w:cs="Arial" w:eastAsia="Arial" w:hAnsi="Arial"/>
          <w:sz w:val="24"/>
          <w:szCs w:val="24"/>
        </w:rPr>
        <w:t xml:space="preserve">     - </w:t>
      </w:r>
      <w:hyperlink w:history="1" r:id="rIdeb8urjfog4uw-guhvkh3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уведомления о прибытии товаров и  транспортных средств на таможенную территорию Кыргызской Республики при перевозке товаров автомобильным,  железнодорожным,  воздушным и  иными  видами транспорта;</w:t>
      </w:r>
    </w:p>
    <w:p>
      <w:pPr>
        <w:spacing w:after="120"/>
        <w:ind w:firstLine="397"/>
        <w:jc w:val="both"/>
      </w:pPr>
      <w:r>
        <w:rPr>
          <w:rFonts w:ascii="Arial" w:cs="Arial" w:eastAsia="Arial" w:hAnsi="Arial"/>
          <w:sz w:val="24"/>
          <w:szCs w:val="24"/>
        </w:rPr>
        <w:t xml:space="preserve">     - </w:t>
      </w:r>
      <w:hyperlink w:history="1" r:id="rIdro6ifluxu6jmhlvk7xith">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формирования и использования сведений по ввозимым  товарам на таможенную территорию Кыргызской Республики.</w:t>
      </w:r>
    </w:p>
    <w:p>
      <w:pPr>
        <w:spacing w:after="120"/>
        <w:ind w:firstLine="397"/>
        <w:jc w:val="both"/>
      </w:pPr>
      <w:r>
        <w:rPr>
          <w:rFonts w:ascii="Arial" w:cs="Arial" w:eastAsia="Arial" w:hAnsi="Arial"/>
          <w:sz w:val="24"/>
          <w:szCs w:val="24"/>
        </w:rPr>
        <w:t xml:space="preserve">     2. Опубликовать настоящее постановление в средствах  массовой  информации.</w:t>
      </w:r>
    </w:p>
    <w:p>
      <w:pPr>
        <w:spacing w:after="120"/>
        <w:ind w:firstLine="397"/>
        <w:jc w:val="both"/>
      </w:pPr>
      <w:r>
        <w:rPr>
          <w:rFonts w:ascii="Arial" w:cs="Arial" w:eastAsia="Arial" w:hAnsi="Arial"/>
          <w:sz w:val="24"/>
          <w:szCs w:val="24"/>
        </w:rPr>
        <w:t xml:space="preserve">     3. Контроль за выполнением настоящего постановления  возложить  на отдел финансов Аппарата Премьер-министра Кыргызской Республики и Министерство финансов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Н.Танаев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r>
        <w:rPr>
          <w:rFonts w:ascii="Arial" w:cs="Arial" w:eastAsia="Arial" w:hAnsi="Arial"/>
          <w:sz w:val="24"/>
          <w:szCs w:val="24"/>
        </w:rPr>
        <w:t xml:space="preserve">а
 </w:t>
      </w:r>
      <w:hyperlink w:history="1" r:id="rIduwmokdn3fq16yd1ba0m9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марта 2005 года № 123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
  по порядку и условиям включения банков и страховых организаций в Реестр банков и страховых организаций, а также по порядку его ведения</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21 сентября 2007 года № 430,
  </w:t>
      </w:r>
      <w:hyperlink w:history="1" r:id="rIdhoqy69l-kklnz4ogzspqx">
        <w:r>
          <w:rPr>
            <w:rFonts w:ascii="Arial" w:cs="Arial" w:eastAsia="Arial" w:hAnsi="Arial"/>
            <w:i/>
            <w:iCs/>
            <w:color w:val="1D4ED8"/>
            <w:sz w:val="24"/>
            <w:szCs w:val="24"/>
            <w:u w:val="single"/>
          </w:rPr>
          <w:t xml:space="preserve">22 февраля 2011 года № 63</w:t>
        </w:r>
      </w:hyperlink>
      <w:r>
        <w:rPr>
          <w:rFonts w:ascii="Arial" w:cs="Arial" w:eastAsia="Arial" w:hAnsi="Arial"/>
          <w:i/>
          <w:iCs/>
          <w:sz w:val="24"/>
          <w:szCs w:val="24"/>
        </w:rPr>
        <w:t xml:space="preserve">, </w:t>
      </w:r>
      <w:hyperlink w:history="1" r:id="rIdgmugjwzwqx3jdik4lmfqg">
        <w:r>
          <w:rPr>
            <w:rFonts w:ascii="Arial" w:cs="Arial" w:eastAsia="Arial" w:hAnsi="Arial"/>
            <w:i/>
            <w:iCs/>
            <w:color w:val="1D4ED8"/>
            <w:sz w:val="24"/>
            <w:szCs w:val="24"/>
            <w:u w:val="single"/>
          </w:rPr>
          <w:t xml:space="preserve">22 сентября 2014 года № 542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 Общие положения</w:t>
      </w:r>
    </w:p>
    <w:p>
      <w:pPr>
        <w:spacing w:after="120"/>
        <w:ind w:firstLine="397"/>
        <w:jc w:val="both"/>
      </w:pPr>
      <w:r>
        <w:rPr>
          <w:rFonts w:ascii="Arial" w:cs="Arial" w:eastAsia="Arial" w:hAnsi="Arial"/>
          <w:sz w:val="24"/>
          <w:szCs w:val="24"/>
        </w:rPr>
        <w:t xml:space="preserve">II. Порядок включения банков и страховых организаций в Реестр</w:t>
      </w:r>
    </w:p>
    <w:p>
      <w:pPr>
        <w:spacing w:after="120"/>
        <w:ind w:firstLine="397"/>
        <w:jc w:val="both"/>
      </w:pPr>
      <w:r>
        <w:rPr>
          <w:rFonts w:ascii="Arial" w:cs="Arial" w:eastAsia="Arial" w:hAnsi="Arial"/>
          <w:sz w:val="24"/>
          <w:szCs w:val="24"/>
        </w:rPr>
        <w:t xml:space="preserve">III. Обязанности банков и страховых организаций, включенных в Реестр</w:t>
      </w:r>
    </w:p>
    <w:p>
      <w:pPr>
        <w:spacing w:after="120"/>
        <w:ind w:firstLine="397"/>
        <w:jc w:val="both"/>
      </w:pPr>
      <w:r>
        <w:rPr>
          <w:rFonts w:ascii="Arial" w:cs="Arial" w:eastAsia="Arial" w:hAnsi="Arial"/>
          <w:sz w:val="24"/>
          <w:szCs w:val="24"/>
        </w:rPr>
        <w:t xml:space="preserve">IV. Исключение банков и страховых организаций из Реестра</w:t>
      </w:r>
    </w:p>
    <w:p>
      <w:pPr>
        <w:spacing w:after="120"/>
        <w:ind w:firstLine="397"/>
        <w:jc w:val="both"/>
      </w:pPr>
      <w:r>
        <w:rPr>
          <w:rFonts w:ascii="Arial" w:cs="Arial" w:eastAsia="Arial" w:hAnsi="Arial"/>
          <w:sz w:val="24"/>
          <w:szCs w:val="24"/>
        </w:rPr>
        <w:t xml:space="preserve">V. Заключительные положения</w:t>
      </w:r>
    </w:p>
    <w:p>
      <w:pPr>
        <w:spacing w:after="120"/>
        <w:ind w:firstLine="397"/>
        <w:jc w:val="both"/>
      </w:pPr>
      <w:r>
        <w:rPr>
          <w:rFonts w:ascii="Arial" w:cs="Arial" w:eastAsia="Arial" w:hAnsi="Arial"/>
          <w:sz w:val="24"/>
          <w:szCs w:val="24"/>
        </w:rPr>
        <w:t xml:space="preserve">Приложение 1. Заявление о включении в Реестр банков и страховых организаций</w:t>
      </w:r>
    </w:p>
    <w:p>
      <w:pPr>
        <w:spacing w:after="120"/>
        <w:ind w:firstLine="397"/>
        <w:jc w:val="both"/>
      </w:pPr>
      <w:r>
        <w:rPr>
          <w:rFonts w:ascii="Arial" w:cs="Arial" w:eastAsia="Arial" w:hAnsi="Arial"/>
          <w:sz w:val="24"/>
          <w:szCs w:val="24"/>
        </w:rPr>
        <w:t xml:space="preserve">Приложение 2. Уведомление на право выступать перед таможенными органами в качестве гаранта</w:t>
      </w:r>
    </w:p>
    <w:p>
      <w:pPr>
        <w:spacing w:after="120"/>
        <w:ind w:firstLine="397"/>
        <w:jc w:val="both"/>
      </w:pPr>
      <w:r>
        <w:rPr>
          <w:rFonts w:ascii="Arial" w:cs="Arial" w:eastAsia="Arial" w:hAnsi="Arial"/>
          <w:sz w:val="24"/>
          <w:szCs w:val="24"/>
        </w:rPr>
        <w:t xml:space="preserve">Приложение 3. Реестр банков и страховых организаций</w:t>
      </w:r>
    </w:p>
    <w:p>
      <w:pPr>
        <w:spacing w:after="120"/>
        <w:ind w:firstLine="397"/>
        <w:jc w:val="both"/>
      </w:pPr>
      <w:r>
        <w:rPr>
          <w:rFonts w:ascii="Arial" w:cs="Arial" w:eastAsia="Arial" w:hAnsi="Arial"/>
          <w:sz w:val="24"/>
          <w:szCs w:val="24"/>
        </w:rPr>
        <w:t xml:space="preserve">Приложение 4. Данные о неисполнении банками и страховыми организациями своих обязательств по банковским гарантиям (договорам страхования) в регионе деятельности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Настоящая Инструкция регулирует порядок и условия включения уполномоченным государственным органом по таможенному делу банков, Расчетно-сберегательной компании (далее - банки) и страховых организаций в Реестр банков и страховых организаций (далее - Реестр) в соответствии со статьями 255 и 258 Таможенного кодекса Кыргызской Республики.</w:t>
      </w:r>
    </w:p>
    <w:p>
      <w:pPr>
        <w:spacing w:after="240"/>
        <w:jc w:val="both"/>
      </w:pPr>
      <w:r>
        <w:rPr>
          <w:rFonts w:ascii="Arial" w:cs="Arial" w:eastAsia="Arial" w:hAnsi="Arial"/>
          <w:i/>
          <w:iCs/>
          <w:sz w:val="24"/>
          <w:szCs w:val="24"/>
        </w:rPr>
        <w:t xml:space="preserve">(В редакции </w:t>
      </w:r>
      <w:hyperlink w:history="1" r:id="rIdk9ew-c4fmohayyp3ornf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22 февраля 2011 года № 63)</w:t>
      </w:r>
    </w:p>
    <w:p>
      <w:pPr>
        <w:spacing w:after="120"/>
        <w:ind w:firstLine="397"/>
        <w:jc w:val="both"/>
      </w:pPr>
      <w:r>
        <w:rPr>
          <w:rFonts w:ascii="Arial" w:cs="Arial" w:eastAsia="Arial" w:hAnsi="Arial"/>
          <w:sz w:val="24"/>
          <w:szCs w:val="24"/>
        </w:rPr>
        <w:t xml:space="preserve">1.2. В качестве обеспечения уплаты таможенных платежей таможенные органы принимают банковские гарантии, выданные банками, и договора страхования, выданные страховыми организациями, включенными в Реестр.</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Порядок включения банков и страховых организаций в Реестр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Для включения в Реестр банк, филиал банка или страховая организация (заявитель) обращается в уполномоченный государственный орган по таможенному делу с заявлением о включении в Реестр, составленным по прилагаемому образцу (приложение № 1).</w:t>
      </w:r>
    </w:p>
    <w:p>
      <w:pPr>
        <w:spacing w:after="120"/>
        <w:ind w:firstLine="397"/>
        <w:jc w:val="both"/>
      </w:pPr>
      <w:r>
        <w:rPr>
          <w:rFonts w:ascii="Arial" w:cs="Arial" w:eastAsia="Arial" w:hAnsi="Arial"/>
          <w:sz w:val="24"/>
          <w:szCs w:val="24"/>
        </w:rPr>
        <w:t xml:space="preserve">2.2. Заявитель одновременно с подачей заявления в уполномоченный государственный орган по таможенному делу представляет оригиналы или заверенные в установленном порядке копии документов.</w:t>
      </w:r>
    </w:p>
    <w:p>
      <w:pPr>
        <w:spacing w:after="120"/>
        <w:ind w:firstLine="397"/>
        <w:jc w:val="both"/>
      </w:pPr>
      <w:r>
        <w:rPr>
          <w:rFonts w:ascii="Arial" w:cs="Arial" w:eastAsia="Arial" w:hAnsi="Arial"/>
          <w:sz w:val="24"/>
          <w:szCs w:val="24"/>
        </w:rPr>
        <w:t xml:space="preserve">2.3. Банк представляет:</w:t>
      </w:r>
    </w:p>
    <w:p>
      <w:pPr>
        <w:spacing w:after="120"/>
        <w:ind w:firstLine="397"/>
        <w:jc w:val="both"/>
      </w:pPr>
      <w:r>
        <w:rPr>
          <w:rFonts w:ascii="Arial" w:cs="Arial" w:eastAsia="Arial" w:hAnsi="Arial"/>
          <w:sz w:val="24"/>
          <w:szCs w:val="24"/>
        </w:rPr>
        <w:t xml:space="preserve">учредительные документы;</w:t>
      </w:r>
    </w:p>
    <w:p>
      <w:pPr>
        <w:spacing w:after="120"/>
        <w:ind w:firstLine="397"/>
        <w:jc w:val="both"/>
      </w:pPr>
      <w:r>
        <w:rPr>
          <w:rFonts w:ascii="Arial" w:cs="Arial" w:eastAsia="Arial" w:hAnsi="Arial"/>
          <w:sz w:val="24"/>
          <w:szCs w:val="24"/>
        </w:rPr>
        <w:t xml:space="preserve">свидетельство о регистрации юридического лица;</w:t>
      </w:r>
    </w:p>
    <w:p>
      <w:pPr>
        <w:spacing w:after="120"/>
        <w:ind w:firstLine="397"/>
        <w:jc w:val="both"/>
      </w:pPr>
      <w:r>
        <w:rPr>
          <w:rFonts w:ascii="Arial" w:cs="Arial" w:eastAsia="Arial" w:hAnsi="Arial"/>
          <w:sz w:val="24"/>
          <w:szCs w:val="24"/>
        </w:rPr>
        <w:t xml:space="preserve">лицензию Национального банка Кыргызской Республики на право проведения банковских операций;</w:t>
      </w:r>
    </w:p>
    <w:p>
      <w:pPr>
        <w:spacing w:after="120"/>
        <w:ind w:firstLine="397"/>
        <w:jc w:val="both"/>
      </w:pPr>
      <w:r>
        <w:rPr>
          <w:rFonts w:ascii="Arial" w:cs="Arial" w:eastAsia="Arial" w:hAnsi="Arial"/>
          <w:sz w:val="24"/>
          <w:szCs w:val="24"/>
        </w:rPr>
        <w:t xml:space="preserve">заверенную в установленном порядке карточку с образцами подписей должностных лиц банка, которым предоставлено право подписи на банковских гарантиях, и оттиском печати банка;</w:t>
      </w:r>
    </w:p>
    <w:p>
      <w:pPr>
        <w:spacing w:after="120"/>
        <w:ind w:firstLine="397"/>
        <w:jc w:val="both"/>
      </w:pPr>
      <w:r>
        <w:rPr>
          <w:rFonts w:ascii="Arial" w:cs="Arial" w:eastAsia="Arial" w:hAnsi="Arial"/>
          <w:sz w:val="24"/>
          <w:szCs w:val="24"/>
        </w:rPr>
        <w:t xml:space="preserve">справку о выполнении обязательных экономических нормативов с указанием их значений, а также значение капитала (собственных средств) банка на каждую отчетную дату (квартал) в течение последнего календарного года, подписанную руководителем и главным бухгалтером и заверенную печатью банка;</w:t>
      </w:r>
    </w:p>
    <w:p>
      <w:pPr>
        <w:spacing w:after="120"/>
        <w:ind w:firstLine="397"/>
        <w:jc w:val="both"/>
      </w:pPr>
      <w:r>
        <w:rPr>
          <w:rFonts w:ascii="Arial" w:cs="Arial" w:eastAsia="Arial" w:hAnsi="Arial"/>
          <w:sz w:val="24"/>
          <w:szCs w:val="24"/>
        </w:rPr>
        <w:t xml:space="preserve">балансовый отчет на последнюю отчетную дату, подписанный руководителем и главным бухгалтером и заверенный печатью банка;</w:t>
      </w:r>
    </w:p>
    <w:p>
      <w:pPr>
        <w:spacing w:after="120"/>
        <w:ind w:firstLine="397"/>
        <w:jc w:val="both"/>
      </w:pPr>
      <w:r>
        <w:rPr>
          <w:rFonts w:ascii="Arial" w:cs="Arial" w:eastAsia="Arial" w:hAnsi="Arial"/>
          <w:sz w:val="24"/>
          <w:szCs w:val="24"/>
        </w:rPr>
        <w:t xml:space="preserve">отчет о прибылях и убытках на последнюю отчетную дату, подписанный руководителем и главным бухгалтером и заверенный печатью банка;</w:t>
      </w:r>
    </w:p>
    <w:p>
      <w:pPr>
        <w:spacing w:after="120"/>
        <w:ind w:firstLine="397"/>
        <w:jc w:val="both"/>
      </w:pPr>
      <w:r>
        <w:rPr>
          <w:rFonts w:ascii="Arial" w:cs="Arial" w:eastAsia="Arial" w:hAnsi="Arial"/>
          <w:sz w:val="24"/>
          <w:szCs w:val="24"/>
        </w:rPr>
        <w:t xml:space="preserve">копию аудиторского заключения внешнего аудитора с приложением форм финансовой отчетности за прошедший год, подписанную руководителем и главным бухгалтером и заверенную печатью банка.</w:t>
      </w:r>
    </w:p>
    <w:p>
      <w:pPr>
        <w:spacing w:after="120"/>
        <w:ind w:firstLine="397"/>
        <w:jc w:val="both"/>
      </w:pPr>
      <w:r>
        <w:rPr>
          <w:rFonts w:ascii="Arial" w:cs="Arial" w:eastAsia="Arial" w:hAnsi="Arial"/>
          <w:sz w:val="24"/>
          <w:szCs w:val="24"/>
        </w:rPr>
        <w:t xml:space="preserve">2.4. Филиал банка дополнительно представляет:</w:t>
      </w:r>
    </w:p>
    <w:p>
      <w:pPr>
        <w:spacing w:after="120"/>
        <w:ind w:firstLine="397"/>
        <w:jc w:val="both"/>
      </w:pPr>
      <w:r>
        <w:rPr>
          <w:rFonts w:ascii="Arial" w:cs="Arial" w:eastAsia="Arial" w:hAnsi="Arial"/>
          <w:sz w:val="24"/>
          <w:szCs w:val="24"/>
        </w:rPr>
        <w:t xml:space="preserve">положение о филиале;</w:t>
      </w:r>
    </w:p>
    <w:p>
      <w:pPr>
        <w:spacing w:after="120"/>
        <w:ind w:firstLine="397"/>
        <w:jc w:val="both"/>
      </w:pPr>
      <w:r>
        <w:rPr>
          <w:rFonts w:ascii="Arial" w:cs="Arial" w:eastAsia="Arial" w:hAnsi="Arial"/>
          <w:sz w:val="24"/>
          <w:szCs w:val="24"/>
        </w:rPr>
        <w:t xml:space="preserve">письмо Национального банка Кыргызской Республики о внесении записи о филиале в Реестр филиалов коммерческих банков Кыргызской Республики;</w:t>
      </w:r>
    </w:p>
    <w:p>
      <w:pPr>
        <w:spacing w:after="120"/>
        <w:ind w:firstLine="397"/>
        <w:jc w:val="both"/>
      </w:pPr>
      <w:r>
        <w:rPr>
          <w:rFonts w:ascii="Arial" w:cs="Arial" w:eastAsia="Arial" w:hAnsi="Arial"/>
          <w:sz w:val="24"/>
          <w:szCs w:val="24"/>
        </w:rPr>
        <w:t xml:space="preserve">заверенную в установленном порядке карточку с образцами подписей должностных лиц филиала, которым предоставлено право подписи на банковских гарантиях, и оттиском печати филиала.</w:t>
      </w:r>
    </w:p>
    <w:p>
      <w:pPr>
        <w:spacing w:after="120"/>
        <w:ind w:firstLine="397"/>
        <w:jc w:val="both"/>
      </w:pPr>
      <w:r>
        <w:rPr>
          <w:rFonts w:ascii="Arial" w:cs="Arial" w:eastAsia="Arial" w:hAnsi="Arial"/>
          <w:sz w:val="24"/>
          <w:szCs w:val="24"/>
        </w:rPr>
        <w:t xml:space="preserve">2.5. Страховая организация представляет:</w:t>
      </w:r>
    </w:p>
    <w:p>
      <w:pPr>
        <w:spacing w:after="120"/>
        <w:ind w:firstLine="397"/>
        <w:jc w:val="both"/>
      </w:pPr>
      <w:r>
        <w:rPr>
          <w:rFonts w:ascii="Arial" w:cs="Arial" w:eastAsia="Arial" w:hAnsi="Arial"/>
          <w:sz w:val="24"/>
          <w:szCs w:val="24"/>
        </w:rPr>
        <w:t xml:space="preserve">учредительные документы;</w:t>
      </w:r>
    </w:p>
    <w:p>
      <w:pPr>
        <w:spacing w:after="120"/>
        <w:ind w:firstLine="397"/>
        <w:jc w:val="both"/>
      </w:pPr>
      <w:r>
        <w:rPr>
          <w:rFonts w:ascii="Arial" w:cs="Arial" w:eastAsia="Arial" w:hAnsi="Arial"/>
          <w:sz w:val="24"/>
          <w:szCs w:val="24"/>
        </w:rPr>
        <w:t xml:space="preserve">свидетельство о государственной регистрации юридического лица;</w:t>
      </w:r>
    </w:p>
    <w:p>
      <w:pPr>
        <w:spacing w:after="120"/>
        <w:ind w:firstLine="397"/>
        <w:jc w:val="both"/>
      </w:pPr>
      <w:r>
        <w:rPr>
          <w:rFonts w:ascii="Arial" w:cs="Arial" w:eastAsia="Arial" w:hAnsi="Arial"/>
          <w:sz w:val="24"/>
          <w:szCs w:val="24"/>
        </w:rPr>
        <w:t xml:space="preserve">лицензию уполномоченного государственного органа по регулированию и надзору за финансовым рынком Кыргызской Республики на право осуществления соответствующего вида страхования ответственности, применяемого в таможенном деле;</w:t>
      </w:r>
    </w:p>
    <w:p>
      <w:pPr>
        <w:spacing w:after="120"/>
        <w:ind w:firstLine="397"/>
        <w:jc w:val="both"/>
      </w:pPr>
      <w:r>
        <w:rPr>
          <w:rFonts w:ascii="Arial" w:cs="Arial" w:eastAsia="Arial" w:hAnsi="Arial"/>
          <w:sz w:val="24"/>
          <w:szCs w:val="24"/>
        </w:rPr>
        <w:t xml:space="preserve">заверенную в установленном порядке карточку с образцами подписей должностных лиц страховой организации, которым предоставлено право подписи на договорах страхования, и оттиском печати страховой организации;</w:t>
      </w:r>
    </w:p>
    <w:p>
      <w:pPr>
        <w:spacing w:after="120"/>
        <w:ind w:firstLine="397"/>
        <w:jc w:val="both"/>
      </w:pPr>
      <w:r>
        <w:rPr>
          <w:rFonts w:ascii="Arial" w:cs="Arial" w:eastAsia="Arial" w:hAnsi="Arial"/>
          <w:sz w:val="24"/>
          <w:szCs w:val="24"/>
        </w:rPr>
        <w:t xml:space="preserve">годовой баланс за прошедший год, подписанный руководителем и главным бухгалтером и заверенный печатью страховой организации;</w:t>
      </w:r>
    </w:p>
    <w:p>
      <w:pPr>
        <w:spacing w:after="120"/>
        <w:ind w:firstLine="397"/>
        <w:jc w:val="both"/>
      </w:pPr>
      <w:r>
        <w:rPr>
          <w:rFonts w:ascii="Arial" w:cs="Arial" w:eastAsia="Arial" w:hAnsi="Arial"/>
          <w:sz w:val="24"/>
          <w:szCs w:val="24"/>
        </w:rPr>
        <w:t xml:space="preserve">справку о выполнении пруденциальных нормативов для страховой организации;</w:t>
      </w:r>
    </w:p>
    <w:p>
      <w:pPr>
        <w:spacing w:after="120"/>
        <w:ind w:firstLine="397"/>
        <w:jc w:val="both"/>
      </w:pPr>
      <w:r>
        <w:rPr>
          <w:rFonts w:ascii="Arial" w:cs="Arial" w:eastAsia="Arial" w:hAnsi="Arial"/>
          <w:sz w:val="24"/>
          <w:szCs w:val="24"/>
        </w:rPr>
        <w:t xml:space="preserve">копию аудиторского заключения внешнего аудитора с приложением форм финансовой отчетности за прошедший год, подписанную руководителем и главным бухгалтером и заверенную печатью страховой организации.</w:t>
      </w:r>
    </w:p>
    <w:p>
      <w:pPr>
        <w:spacing w:after="240"/>
        <w:jc w:val="both"/>
      </w:pPr>
      <w:r>
        <w:rPr>
          <w:rFonts w:ascii="Arial" w:cs="Arial" w:eastAsia="Arial" w:hAnsi="Arial"/>
          <w:i/>
          <w:iCs/>
          <w:sz w:val="24"/>
          <w:szCs w:val="24"/>
        </w:rPr>
        <w:t xml:space="preserve">(В редакции </w:t>
      </w:r>
      <w:hyperlink w:history="1" r:id="rIdxd71l603mmhzcjp43loo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22 февраля 2011 года № 63)</w:t>
      </w:r>
    </w:p>
    <w:p>
      <w:pPr>
        <w:spacing w:after="120"/>
        <w:ind w:firstLine="397"/>
        <w:jc w:val="both"/>
      </w:pPr>
      <w:r>
        <w:rPr>
          <w:rFonts w:ascii="Arial" w:cs="Arial" w:eastAsia="Arial" w:hAnsi="Arial"/>
          <w:sz w:val="24"/>
          <w:szCs w:val="24"/>
        </w:rPr>
        <w:t xml:space="preserve">2.6. По окончании рассмотрения заявления уполномоченный государственный орган по таможенному делу по требованию заявителя возвращает оригиналы представленных документов.</w:t>
      </w:r>
    </w:p>
    <w:p>
      <w:pPr>
        <w:spacing w:after="120"/>
        <w:ind w:firstLine="397"/>
        <w:jc w:val="both"/>
      </w:pPr>
      <w:r>
        <w:rPr>
          <w:rFonts w:ascii="Arial" w:cs="Arial" w:eastAsia="Arial" w:hAnsi="Arial"/>
          <w:sz w:val="24"/>
          <w:szCs w:val="24"/>
        </w:rPr>
        <w:t xml:space="preserve">2.7. Решение о включении банка, филиала банка или страховой организации в Реестр принимается при соблюдении условий, указанных в настоящем пункте:</w:t>
      </w:r>
    </w:p>
    <w:p>
      <w:pPr>
        <w:spacing w:after="120"/>
        <w:ind w:firstLine="397"/>
        <w:jc w:val="both"/>
      </w:pPr>
      <w:r>
        <w:rPr>
          <w:rFonts w:ascii="Arial" w:cs="Arial" w:eastAsia="Arial" w:hAnsi="Arial"/>
          <w:sz w:val="24"/>
          <w:szCs w:val="24"/>
        </w:rPr>
        <w:t xml:space="preserve">1) условиями включения банка в Реестр являются:</w:t>
      </w:r>
    </w:p>
    <w:p>
      <w:pPr>
        <w:spacing w:after="120"/>
        <w:ind w:firstLine="397"/>
        <w:jc w:val="both"/>
      </w:pPr>
      <w:r>
        <w:rPr>
          <w:rFonts w:ascii="Arial" w:cs="Arial" w:eastAsia="Arial" w:hAnsi="Arial"/>
          <w:sz w:val="24"/>
          <w:szCs w:val="24"/>
        </w:rPr>
        <w:t xml:space="preserve">наличие лицензии на право проведения банковских операций, выданной Национальным банком Кыргызской Республики, и осуществление банковской деятельности не менее пяти лет;</w:t>
      </w:r>
    </w:p>
    <w:p>
      <w:pPr>
        <w:spacing w:after="120"/>
        <w:ind w:firstLine="397"/>
        <w:jc w:val="both"/>
      </w:pPr>
      <w:r>
        <w:rPr>
          <w:rFonts w:ascii="Arial" w:cs="Arial" w:eastAsia="Arial" w:hAnsi="Arial"/>
          <w:sz w:val="24"/>
          <w:szCs w:val="24"/>
        </w:rPr>
        <w:t xml:space="preserve">отсутствие задолженности перед таможенными органами;</w:t>
      </w:r>
    </w:p>
    <w:p>
      <w:pPr>
        <w:spacing w:after="120"/>
        <w:ind w:firstLine="397"/>
        <w:jc w:val="both"/>
      </w:pPr>
      <w:r>
        <w:rPr>
          <w:rFonts w:ascii="Arial" w:cs="Arial" w:eastAsia="Arial" w:hAnsi="Arial"/>
          <w:sz w:val="24"/>
          <w:szCs w:val="24"/>
        </w:rPr>
        <w:t xml:space="preserve">наличие оплаченного уставного капитала банка в размере не менее 100 миллионов сомов;</w:t>
      </w:r>
    </w:p>
    <w:p>
      <w:pPr>
        <w:spacing w:after="120"/>
        <w:ind w:firstLine="397"/>
        <w:jc w:val="both"/>
      </w:pPr>
      <w:r>
        <w:rPr>
          <w:rFonts w:ascii="Arial" w:cs="Arial" w:eastAsia="Arial" w:hAnsi="Arial"/>
          <w:sz w:val="24"/>
          <w:szCs w:val="24"/>
        </w:rPr>
        <w:t xml:space="preserve">наличие капитала (собственных средств) банка в размере не менее 30 миллионов сомов;</w:t>
      </w:r>
    </w:p>
    <w:p>
      <w:pPr>
        <w:spacing w:after="120"/>
        <w:ind w:firstLine="397"/>
        <w:jc w:val="both"/>
      </w:pPr>
      <w:r>
        <w:rPr>
          <w:rFonts w:ascii="Arial" w:cs="Arial" w:eastAsia="Arial" w:hAnsi="Arial"/>
          <w:sz w:val="24"/>
          <w:szCs w:val="24"/>
        </w:rPr>
        <w:t xml:space="preserve">соблюдение обязательных экономических нормативов на все отчетные даты (кварталы) в течение последнего календарного года;</w:t>
      </w:r>
    </w:p>
    <w:p>
      <w:pPr>
        <w:spacing w:after="120"/>
        <w:ind w:firstLine="397"/>
        <w:jc w:val="both"/>
      </w:pPr>
      <w:r>
        <w:rPr>
          <w:rFonts w:ascii="Arial" w:cs="Arial" w:eastAsia="Arial" w:hAnsi="Arial"/>
          <w:sz w:val="24"/>
          <w:szCs w:val="24"/>
        </w:rPr>
        <w:t xml:space="preserve">2) условиями включения филиала банка в Реестр являются:</w:t>
      </w:r>
    </w:p>
    <w:p>
      <w:pPr>
        <w:spacing w:after="120"/>
        <w:ind w:firstLine="397"/>
        <w:jc w:val="both"/>
      </w:pPr>
      <w:r>
        <w:rPr>
          <w:rFonts w:ascii="Arial" w:cs="Arial" w:eastAsia="Arial" w:hAnsi="Arial"/>
          <w:sz w:val="24"/>
          <w:szCs w:val="24"/>
        </w:rPr>
        <w:t xml:space="preserve">внесение филиала в Реестр филиалов коммерческих банков Кыргызской Республики;</w:t>
      </w:r>
    </w:p>
    <w:p>
      <w:pPr>
        <w:spacing w:after="120"/>
        <w:ind w:firstLine="397"/>
        <w:jc w:val="both"/>
      </w:pPr>
      <w:r>
        <w:rPr>
          <w:rFonts w:ascii="Arial" w:cs="Arial" w:eastAsia="Arial" w:hAnsi="Arial"/>
          <w:sz w:val="24"/>
          <w:szCs w:val="24"/>
        </w:rPr>
        <w:t xml:space="preserve">наличие права выдачи филиалом банковских гарантий, предусмотренного в положении о филиале;</w:t>
      </w:r>
    </w:p>
    <w:p>
      <w:pPr>
        <w:spacing w:after="120"/>
        <w:ind w:firstLine="397"/>
        <w:jc w:val="both"/>
      </w:pPr>
      <w:r>
        <w:rPr>
          <w:rFonts w:ascii="Arial" w:cs="Arial" w:eastAsia="Arial" w:hAnsi="Arial"/>
          <w:sz w:val="24"/>
          <w:szCs w:val="24"/>
        </w:rPr>
        <w:t xml:space="preserve">соответствие головного банка условиям включения в Реестр или включение его в Реестр;</w:t>
      </w:r>
    </w:p>
    <w:p>
      <w:pPr>
        <w:spacing w:after="120"/>
        <w:ind w:firstLine="397"/>
        <w:jc w:val="both"/>
      </w:pPr>
      <w:r>
        <w:rPr>
          <w:rFonts w:ascii="Arial" w:cs="Arial" w:eastAsia="Arial" w:hAnsi="Arial"/>
          <w:sz w:val="24"/>
          <w:szCs w:val="24"/>
        </w:rPr>
        <w:t xml:space="preserve">3) условиями включения страховой организации в Реестр являются:</w:t>
      </w:r>
    </w:p>
    <w:p>
      <w:pPr>
        <w:spacing w:after="120"/>
        <w:ind w:firstLine="397"/>
        <w:jc w:val="both"/>
      </w:pPr>
      <w:r>
        <w:rPr>
          <w:rFonts w:ascii="Arial" w:cs="Arial" w:eastAsia="Arial" w:hAnsi="Arial"/>
          <w:sz w:val="24"/>
          <w:szCs w:val="24"/>
        </w:rPr>
        <w:t xml:space="preserve">наличие действующей лицензии уполномоченного государственного органа по регулированию и надзору за финансовым рынком Кыргызской Республики на право осуществления соответствующего вида страхования ответственности, применяемого в таможенном деле;</w:t>
      </w:r>
    </w:p>
    <w:p>
      <w:pPr>
        <w:spacing w:after="120"/>
        <w:ind w:firstLine="397"/>
        <w:jc w:val="both"/>
      </w:pPr>
      <w:r>
        <w:rPr>
          <w:rFonts w:ascii="Arial" w:cs="Arial" w:eastAsia="Arial" w:hAnsi="Arial"/>
          <w:sz w:val="24"/>
          <w:szCs w:val="24"/>
        </w:rPr>
        <w:t xml:space="preserve">отсутствие задолженности перед таможенными органами;</w:t>
      </w:r>
    </w:p>
    <w:p>
      <w:pPr>
        <w:spacing w:after="120"/>
        <w:ind w:firstLine="397"/>
        <w:jc w:val="both"/>
      </w:pPr>
      <w:r>
        <w:rPr>
          <w:rFonts w:ascii="Arial" w:cs="Arial" w:eastAsia="Arial" w:hAnsi="Arial"/>
          <w:sz w:val="24"/>
          <w:szCs w:val="24"/>
        </w:rPr>
        <w:t xml:space="preserve">наличие собственного капитала в размере не менее 50000 размеров расчетного показателя;</w:t>
      </w:r>
    </w:p>
    <w:p>
      <w:pPr>
        <w:spacing w:after="120"/>
        <w:ind w:firstLine="397"/>
        <w:jc w:val="both"/>
      </w:pPr>
      <w:r>
        <w:rPr>
          <w:rFonts w:ascii="Arial" w:cs="Arial" w:eastAsia="Arial" w:hAnsi="Arial"/>
          <w:sz w:val="24"/>
          <w:szCs w:val="24"/>
        </w:rPr>
        <w:t xml:space="preserve">осуществление деятельности в качестве страховой организации не менее одного года;</w:t>
      </w:r>
    </w:p>
    <w:p>
      <w:pPr>
        <w:spacing w:after="120"/>
        <w:ind w:firstLine="397"/>
        <w:jc w:val="both"/>
      </w:pPr>
      <w:r>
        <w:rPr>
          <w:rFonts w:ascii="Arial" w:cs="Arial" w:eastAsia="Arial" w:hAnsi="Arial"/>
          <w:sz w:val="24"/>
          <w:szCs w:val="24"/>
        </w:rPr>
        <w:t xml:space="preserve">отсутствие убытков в течение последнего календарного года;</w:t>
      </w:r>
    </w:p>
    <w:p>
      <w:pPr>
        <w:spacing w:after="120"/>
        <w:ind w:firstLine="397"/>
        <w:jc w:val="both"/>
      </w:pPr>
      <w:r>
        <w:rPr>
          <w:rFonts w:ascii="Arial" w:cs="Arial" w:eastAsia="Arial" w:hAnsi="Arial"/>
          <w:sz w:val="24"/>
          <w:szCs w:val="24"/>
        </w:rPr>
        <w:t xml:space="preserve">выполнение пруденциальных нормативов для страховой организации на все отчетные даты в течение последнего календарного года.</w:t>
      </w:r>
    </w:p>
    <w:p>
      <w:pPr>
        <w:spacing w:after="240"/>
        <w:jc w:val="both"/>
      </w:pPr>
      <w:r>
        <w:rPr>
          <w:rFonts w:ascii="Arial" w:cs="Arial" w:eastAsia="Arial" w:hAnsi="Arial"/>
          <w:i/>
          <w:iCs/>
          <w:sz w:val="24"/>
          <w:szCs w:val="24"/>
        </w:rPr>
        <w:t xml:space="preserve">(В редакции постановлений Правительства КР от 21 сентября 2007 года № 430, </w:t>
      </w:r>
      <w:hyperlink w:history="1" r:id="rIdurathwp-nfzovs5fruiuy">
        <w:r>
          <w:rPr>
            <w:rFonts w:ascii="Arial" w:cs="Arial" w:eastAsia="Arial" w:hAnsi="Arial"/>
            <w:i/>
            <w:iCs/>
            <w:color w:val="1D4ED8"/>
            <w:sz w:val="24"/>
            <w:szCs w:val="24"/>
            <w:u w:val="single"/>
          </w:rPr>
          <w:t xml:space="preserve">22 февраля 2011 года № 63</w:t>
        </w:r>
      </w:hyperlink>
      <w:r>
        <w:rPr>
          <w:rFonts w:ascii="Arial" w:cs="Arial" w:eastAsia="Arial" w:hAnsi="Arial"/>
          <w:i/>
          <w:iCs/>
          <w:sz w:val="24"/>
          <w:szCs w:val="24"/>
        </w:rPr>
        <w:t xml:space="preserve">, </w:t>
      </w:r>
      <w:hyperlink w:history="1" r:id="rIdcxsvdj5wjzfbxi2kzc--5">
        <w:r>
          <w:rPr>
            <w:rFonts w:ascii="Arial" w:cs="Arial" w:eastAsia="Arial" w:hAnsi="Arial"/>
            <w:i/>
            <w:iCs/>
            <w:color w:val="1D4ED8"/>
            <w:sz w:val="24"/>
            <w:szCs w:val="24"/>
            <w:u w:val="single"/>
          </w:rPr>
          <w:t xml:space="preserve">22 сентября 2014 года № 542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2.8. Уполномоченный государственный орган по таможенному делу рассматривает заявление и приложенные к нему документы в течение 30 дней со дня их получения. В течение указанного срока уполномоченный государственный орган по таможенному делу проверяет соблюдение условий, указанных в пункте 2.7 настоящей Инструкции, и принимает решение о включении заявителя в Реестр или отказе во включении в Реестр.</w:t>
      </w:r>
    </w:p>
    <w:p>
      <w:pPr>
        <w:spacing w:after="120"/>
        <w:ind w:firstLine="397"/>
        <w:jc w:val="both"/>
      </w:pPr>
      <w:r>
        <w:rPr>
          <w:rFonts w:ascii="Arial" w:cs="Arial" w:eastAsia="Arial" w:hAnsi="Arial"/>
          <w:sz w:val="24"/>
          <w:szCs w:val="24"/>
        </w:rPr>
        <w:t xml:space="preserve">При необходимости, в подтверждение представленных заявителем документов и сведений, уполномоченный государственный орган по таможенному делу может запросить у третьих лиц, а также у государственных органов документы, содержащие необходимую информацию, кроме сведений, составляющих банковскую тайну. Указанные лица в течение 10 дней со дня получения запроса обязаны представить запрашиваемые документы, при этом срок рассмотрения заявления не продлевается.</w:t>
      </w:r>
    </w:p>
    <w:p>
      <w:pPr>
        <w:spacing w:after="120"/>
        <w:ind w:firstLine="397"/>
        <w:jc w:val="both"/>
      </w:pPr>
      <w:r>
        <w:rPr>
          <w:rFonts w:ascii="Arial" w:cs="Arial" w:eastAsia="Arial" w:hAnsi="Arial"/>
          <w:sz w:val="24"/>
          <w:szCs w:val="24"/>
        </w:rPr>
        <w:t xml:space="preserve">О принятом решении о включении в Реестр заявитель извещается в письменной форме в течение трех дней со дня принятия такого решения.</w:t>
      </w:r>
    </w:p>
    <w:p>
      <w:pPr>
        <w:spacing w:after="120"/>
        <w:ind w:firstLine="397"/>
        <w:jc w:val="both"/>
      </w:pPr>
      <w:r>
        <w:rPr>
          <w:rFonts w:ascii="Arial" w:cs="Arial" w:eastAsia="Arial" w:hAnsi="Arial"/>
          <w:sz w:val="24"/>
          <w:szCs w:val="24"/>
        </w:rPr>
        <w:t xml:space="preserve">2.9. При принятии решения о включении в Реестр уполномоченный государственный орган по таможенному делу выдает банку, филиалу банка или страховой организации уведомление на право выступать в качестве гаранта перед таможенными органами по установленной форме (приложение № 2). Плата за включение в Реестр не взимается.</w:t>
      </w:r>
    </w:p>
    <w:p>
      <w:pPr>
        <w:spacing w:after="120"/>
        <w:ind w:firstLine="397"/>
        <w:jc w:val="both"/>
      </w:pPr>
      <w:r>
        <w:rPr>
          <w:rFonts w:ascii="Arial" w:cs="Arial" w:eastAsia="Arial" w:hAnsi="Arial"/>
          <w:sz w:val="24"/>
          <w:szCs w:val="24"/>
        </w:rPr>
        <w:t xml:space="preserve">2.10. Срок действия уведомления составляет 1 год со дня включения в Реестр. При этом срок действия уведомления, выданного филиалу банка, включенного в Реестр, ограничивается сроком действия уведомления, выданного банку.</w:t>
      </w:r>
    </w:p>
    <w:p>
      <w:pPr>
        <w:spacing w:after="120"/>
        <w:ind w:firstLine="397"/>
        <w:jc w:val="both"/>
      </w:pPr>
      <w:r>
        <w:rPr>
          <w:rFonts w:ascii="Arial" w:cs="Arial" w:eastAsia="Arial" w:hAnsi="Arial"/>
          <w:sz w:val="24"/>
          <w:szCs w:val="24"/>
        </w:rPr>
        <w:t xml:space="preserve">По истечении срока действия уведомления банк, филиал банка или страховая организация имеют право на повторное включение в Реестр. Заявление для повторного включения в Реестр подается в уполномоченный государственный орган по таможенному делу не позднее чем за месяц до истечения срока действия уведомления.</w:t>
      </w:r>
    </w:p>
    <w:p>
      <w:pPr>
        <w:spacing w:after="120"/>
        <w:ind w:firstLine="397"/>
        <w:jc w:val="both"/>
      </w:pPr>
      <w:r>
        <w:rPr>
          <w:rFonts w:ascii="Arial" w:cs="Arial" w:eastAsia="Arial" w:hAnsi="Arial"/>
          <w:sz w:val="24"/>
          <w:szCs w:val="24"/>
        </w:rPr>
        <w:t xml:space="preserve">Заявление о повторном включении в Реестр рассматривается в соответствии с положениями настоящей Инструкции.</w:t>
      </w:r>
    </w:p>
    <w:p>
      <w:pPr>
        <w:spacing w:after="120"/>
        <w:ind w:firstLine="397"/>
        <w:jc w:val="both"/>
      </w:pPr>
      <w:r>
        <w:rPr>
          <w:rFonts w:ascii="Arial" w:cs="Arial" w:eastAsia="Arial" w:hAnsi="Arial"/>
          <w:sz w:val="24"/>
          <w:szCs w:val="24"/>
        </w:rPr>
        <w:t xml:space="preserve">2.11. Уполномоченный государственный орган по таможенному делу отказывает во включении в Реестр только в случае несоблюдения условий, указанных в пункте 2.7 настоящей Инструкции. Заявителю направляется извещение об отказе во включении в Реестр с указанием причин такого отказа в течение трех дней со дня принятия решения об отказе.</w:t>
      </w:r>
    </w:p>
    <w:p>
      <w:pPr>
        <w:spacing w:after="120"/>
        <w:ind w:firstLine="397"/>
        <w:jc w:val="both"/>
      </w:pPr>
      <w:r>
        <w:rPr>
          <w:rFonts w:ascii="Arial" w:cs="Arial" w:eastAsia="Arial" w:hAnsi="Arial"/>
          <w:sz w:val="24"/>
          <w:szCs w:val="24"/>
        </w:rPr>
        <w:t xml:space="preserve">2.12. Банк, филиал банка или страховая организация включаются в Реестр с первого числа месяца, следующего за месяцем принятия решения о включении в Реестр. Уполномоченный государственный орган по таможенному делу осуществляет регулярное опубликование (не реже одного раза в месяц) в средствах массовой информации и на своем официальном сайте перечень банков, филиалов банков и страховых организаций, включенных в Реестр.</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III. Обязанности банков и страховых организаций, включенных в Реестр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Банки и страховые организации включенные в Реестр обязаны:</w:t>
      </w:r>
    </w:p>
    <w:p>
      <w:pPr>
        <w:spacing w:after="120"/>
        <w:ind w:firstLine="397"/>
        <w:jc w:val="both"/>
      </w:pPr>
      <w:r>
        <w:rPr>
          <w:rFonts w:ascii="Arial" w:cs="Arial" w:eastAsia="Arial" w:hAnsi="Arial"/>
          <w:sz w:val="24"/>
          <w:szCs w:val="24"/>
        </w:rPr>
        <w:t xml:space="preserve">3.1. Своевременно и в полном объеме исполнять требования таможенных органов об уплате денежных средств по выданным банковским гарантиям (договора страхования).</w:t>
      </w:r>
    </w:p>
    <w:p>
      <w:pPr>
        <w:spacing w:after="120"/>
        <w:ind w:firstLine="397"/>
        <w:jc w:val="both"/>
      </w:pPr>
      <w:r>
        <w:rPr>
          <w:rFonts w:ascii="Arial" w:cs="Arial" w:eastAsia="Arial" w:hAnsi="Arial"/>
          <w:sz w:val="24"/>
          <w:szCs w:val="24"/>
        </w:rPr>
        <w:t xml:space="preserve">3.2. Незамедлительно информировать уполномоченный государственный орган по таможенному делу об изменении финансовых реквизитов, местонахождения (юридического адреса) и почтового адреса, учредительных документов, карточек с образцами подписей лиц, имеющих право подписи на банковских гарантиях, и оттиском печати, о ликвидации или реорганизации, о приостановлении и отзыве лицензии, выданной Национальным банком Кыргызской Республики, на право проведения банковских операций, включая все дополнительные (для банка и кредитных организаций) либо лицензии уполномоченного государственного органа по регулированию и надзору за финансовым рынком Кыргызской Республики на право осуществления соответствующего вида страхования (для страховой организации).</w:t>
      </w:r>
    </w:p>
    <w:p>
      <w:pPr>
        <w:spacing w:after="240"/>
        <w:jc w:val="both"/>
      </w:pPr>
      <w:r>
        <w:rPr>
          <w:rFonts w:ascii="Arial" w:cs="Arial" w:eastAsia="Arial" w:hAnsi="Arial"/>
          <w:i/>
          <w:iCs/>
          <w:sz w:val="24"/>
          <w:szCs w:val="24"/>
        </w:rPr>
        <w:t xml:space="preserve">(В редакции </w:t>
      </w:r>
      <w:hyperlink w:history="1" r:id="rIdj5c9jmepaneyxr20h6b77">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22 февраля 2011 года № 63)</w:t>
      </w:r>
    </w:p>
    <w:p>
      <w:pPr>
        <w:spacing w:after="120"/>
        <w:ind w:firstLine="397"/>
        <w:jc w:val="both"/>
      </w:pPr>
      <w:r>
        <w:rPr>
          <w:rFonts w:ascii="Arial" w:cs="Arial" w:eastAsia="Arial" w:hAnsi="Arial"/>
          <w:sz w:val="24"/>
          <w:szCs w:val="24"/>
        </w:rPr>
        <w:t xml:space="preserve">3.3. Представлять в уполномоченный государственный орган по таможенному делу ежегодно до 1 июля копию аудиторского заключения внешнего аудитора с приложением форм финансовой отчетности за прошедший год, заверенную аудиторской фирмой.</w:t>
      </w:r>
    </w:p>
    <w:p>
      <w:pPr>
        <w:spacing w:after="120"/>
        <w:ind w:firstLine="397"/>
        <w:jc w:val="both"/>
      </w:pPr>
      <w:r>
        <w:rPr>
          <w:rFonts w:ascii="Arial" w:cs="Arial" w:eastAsia="Arial" w:hAnsi="Arial"/>
          <w:sz w:val="24"/>
          <w:szCs w:val="24"/>
        </w:rPr>
        <w:t xml:space="preserve">3.4. Своевременно исполнять решения суда о взыскании таможенных и иных платежей, а также решения о приостановлении операций по счетам плательщика в соответствии со статьями 770 и 771 Гражданского кодекса Кыргызской Республики и статьей 259 Таможенного кодекса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IV. Исключение банков и страховых организаций из Реестра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Банк, филиал банка или страховая организация исключаются из Реестра в следующих случаях:</w:t>
      </w:r>
    </w:p>
    <w:p>
      <w:pPr>
        <w:spacing w:after="120"/>
        <w:ind w:firstLine="397"/>
        <w:jc w:val="both"/>
      </w:pPr>
      <w:r>
        <w:rPr>
          <w:rFonts w:ascii="Arial" w:cs="Arial" w:eastAsia="Arial" w:hAnsi="Arial"/>
          <w:sz w:val="24"/>
          <w:szCs w:val="24"/>
        </w:rPr>
        <w:t xml:space="preserve">ликвидации или реорганизации банка, филиала банка или страховой организации;</w:t>
      </w:r>
    </w:p>
    <w:p>
      <w:pPr>
        <w:spacing w:after="120"/>
        <w:ind w:firstLine="397"/>
        <w:jc w:val="both"/>
      </w:pPr>
      <w:r>
        <w:rPr>
          <w:rFonts w:ascii="Arial" w:cs="Arial" w:eastAsia="Arial" w:hAnsi="Arial"/>
          <w:sz w:val="24"/>
          <w:szCs w:val="24"/>
        </w:rPr>
        <w:t xml:space="preserve">отзыва Национальным банком Кыргызской Республики лицензии на право проведения банковских операций у банка либо уполномоченным государственным органом по регулированию и надзору за финансовым рынком Кыргызской Республики лицензии на право проведения страховой деятельности у страховой организации;</w:t>
      </w:r>
    </w:p>
    <w:p>
      <w:pPr>
        <w:spacing w:after="120"/>
        <w:ind w:firstLine="397"/>
        <w:jc w:val="both"/>
      </w:pPr>
      <w:r>
        <w:rPr>
          <w:rFonts w:ascii="Arial" w:cs="Arial" w:eastAsia="Arial" w:hAnsi="Arial"/>
          <w:sz w:val="24"/>
          <w:szCs w:val="24"/>
        </w:rPr>
        <w:t xml:space="preserve">неисполнения хотя бы одного из условий включения в Реестр;</w:t>
      </w:r>
    </w:p>
    <w:p>
      <w:pPr>
        <w:spacing w:after="120"/>
        <w:ind w:firstLine="397"/>
        <w:jc w:val="both"/>
      </w:pPr>
      <w:r>
        <w:rPr>
          <w:rFonts w:ascii="Arial" w:cs="Arial" w:eastAsia="Arial" w:hAnsi="Arial"/>
          <w:sz w:val="24"/>
          <w:szCs w:val="24"/>
        </w:rPr>
        <w:t xml:space="preserve">неисполнения обязательств по банковской гарантии, договору страхования;</w:t>
      </w:r>
    </w:p>
    <w:p>
      <w:pPr>
        <w:spacing w:after="120"/>
        <w:ind w:firstLine="397"/>
        <w:jc w:val="both"/>
      </w:pPr>
      <w:r>
        <w:rPr>
          <w:rFonts w:ascii="Arial" w:cs="Arial" w:eastAsia="Arial" w:hAnsi="Arial"/>
          <w:sz w:val="24"/>
          <w:szCs w:val="24"/>
        </w:rPr>
        <w:t xml:space="preserve">истечения одного года со дня включения в Реестр, если до истечения указанного срока не представлено в установленном порядке заявление о повторном включении в Реестр.</w:t>
      </w:r>
    </w:p>
    <w:p>
      <w:pPr>
        <w:spacing w:after="240"/>
        <w:jc w:val="both"/>
      </w:pPr>
      <w:r>
        <w:rPr>
          <w:rFonts w:ascii="Arial" w:cs="Arial" w:eastAsia="Arial" w:hAnsi="Arial"/>
          <w:i/>
          <w:iCs/>
          <w:sz w:val="24"/>
          <w:szCs w:val="24"/>
        </w:rPr>
        <w:t xml:space="preserve">(В редакции </w:t>
      </w:r>
      <w:hyperlink w:history="1" r:id="rIdqq2gwts2zixqocusltvhz">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22 февраля 2011 года № 63)</w:t>
      </w:r>
    </w:p>
    <w:p>
      <w:pPr>
        <w:spacing w:after="120"/>
        <w:ind w:firstLine="397"/>
        <w:jc w:val="both"/>
      </w:pPr>
      <w:r>
        <w:rPr>
          <w:rFonts w:ascii="Arial" w:cs="Arial" w:eastAsia="Arial" w:hAnsi="Arial"/>
          <w:sz w:val="24"/>
          <w:szCs w:val="24"/>
        </w:rPr>
        <w:t xml:space="preserve">4.2. При исключении из Реестра головного банка исключению подлежат также все его филиалы (отделения).</w:t>
      </w:r>
    </w:p>
    <w:p>
      <w:pPr>
        <w:spacing w:after="120"/>
        <w:ind w:firstLine="397"/>
        <w:jc w:val="both"/>
      </w:pPr>
      <w:r>
        <w:rPr>
          <w:rFonts w:ascii="Arial" w:cs="Arial" w:eastAsia="Arial" w:hAnsi="Arial"/>
          <w:sz w:val="24"/>
          <w:szCs w:val="24"/>
        </w:rPr>
        <w:t xml:space="preserve">4.3. Об исключении банка, филиала банка или страховой организации из Реестра уполномоченный государственный орган по таможенному делу оперативно информирует таможенные органы.</w:t>
      </w:r>
    </w:p>
    <w:p>
      <w:pPr>
        <w:spacing w:after="120"/>
        <w:ind w:firstLine="397"/>
        <w:jc w:val="both"/>
      </w:pPr>
      <w:r>
        <w:rPr>
          <w:rFonts w:ascii="Arial" w:cs="Arial" w:eastAsia="Arial" w:hAnsi="Arial"/>
          <w:sz w:val="24"/>
          <w:szCs w:val="24"/>
        </w:rPr>
        <w:t xml:space="preserve">4.4. Банк, филиал банка или страховую организацию, исключенные из Реестра, уполномоченный государственный орган по таможенному делу уведомляет в письменной форме с указанием причин исключения.</w:t>
      </w:r>
    </w:p>
    <w:p>
      <w:pPr>
        <w:spacing w:after="120"/>
        <w:ind w:firstLine="397"/>
        <w:jc w:val="both"/>
      </w:pPr>
      <w:r>
        <w:rPr>
          <w:rFonts w:ascii="Arial" w:cs="Arial" w:eastAsia="Arial" w:hAnsi="Arial"/>
          <w:sz w:val="24"/>
          <w:szCs w:val="24"/>
        </w:rPr>
        <w:t xml:space="preserve">4.5. Исключение банка, филиала банка или страховой организации из Реестра не прекращает действия выданных ими и принятых таможенными органами банковских гарантий (договора страхования) и не освобождает их от ответственности за неисполнение либо ненадлежащее исполнение условий таких банковских гарантий (договора страхования).</w:t>
      </w:r>
    </w:p>
    <w:p>
      <w:pPr>
        <w:spacing w:after="120"/>
        <w:ind w:firstLine="397"/>
        <w:jc w:val="both"/>
      </w:pPr>
      <w:r>
        <w:rPr>
          <w:rFonts w:ascii="Arial" w:cs="Arial" w:eastAsia="Arial" w:hAnsi="Arial"/>
          <w:sz w:val="24"/>
          <w:szCs w:val="24"/>
        </w:rPr>
        <w:t xml:space="preserve">4.6. Банк, филиал банка или страховая организация, исключенные из Реестра, могут быть повторно включены в Реестр через один год при условии ликвидации причин исключения из Реестра. Заявление о повторном включении в Реестр уполномоченный государственный орган по таможенному делу рассматривает в соответствии с настоящей Инструкцией.</w:t>
      </w:r>
    </w:p>
    <w:p>
      <w:pPr>
        <w:spacing w:after="120"/>
        <w:ind w:firstLine="397"/>
        <w:jc w:val="both"/>
      </w:pPr>
      <w:r>
        <w:rPr>
          <w:rFonts w:ascii="Arial" w:cs="Arial" w:eastAsia="Arial" w:hAnsi="Arial"/>
          <w:sz w:val="24"/>
          <w:szCs w:val="24"/>
        </w:rPr>
        <w:t xml:space="preserve"/>
      </w:r>
    </w:p>
    <w:p>
      <w:pPr>
        <w:spacing w:after="240" w:before="480"/>
        <w:jc w:val="center"/>
      </w:pPr>
      <w:r>
        <w:rPr>
          <w:rFonts w:ascii="Arial" w:cs="Arial" w:eastAsia="Arial" w:hAnsi="Arial"/>
          <w:b/>
          <w:bCs/>
          <w:sz w:val="28"/>
          <w:szCs w:val="28"/>
        </w:rPr>
        <w:t xml:space="preserve">V.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Уполномоченный государственный орган по таможенному делу:</w:t>
      </w:r>
    </w:p>
    <w:p>
      <w:pPr>
        <w:spacing w:after="120"/>
        <w:ind w:firstLine="397"/>
        <w:jc w:val="both"/>
      </w:pPr>
      <w:r>
        <w:rPr>
          <w:rFonts w:ascii="Arial" w:cs="Arial" w:eastAsia="Arial" w:hAnsi="Arial"/>
          <w:sz w:val="24"/>
          <w:szCs w:val="24"/>
        </w:rPr>
        <w:t xml:space="preserve">а) ведет Реестр согласно установленной форме (приложение № 3);</w:t>
      </w:r>
    </w:p>
    <w:p>
      <w:pPr>
        <w:spacing w:after="120"/>
        <w:ind w:firstLine="397"/>
        <w:jc w:val="both"/>
      </w:pPr>
      <w:r>
        <w:rPr>
          <w:rFonts w:ascii="Arial" w:cs="Arial" w:eastAsia="Arial" w:hAnsi="Arial"/>
          <w:sz w:val="24"/>
          <w:szCs w:val="24"/>
        </w:rPr>
        <w:t xml:space="preserve">б) доводит до сведения таможенных органов действующий Реестр по состоянию на первое число текущего месяца.</w:t>
      </w:r>
    </w:p>
    <w:p>
      <w:pPr>
        <w:spacing w:after="120"/>
        <w:ind w:firstLine="397"/>
        <w:jc w:val="both"/>
      </w:pPr>
      <w:r>
        <w:rPr>
          <w:rFonts w:ascii="Arial" w:cs="Arial" w:eastAsia="Arial" w:hAnsi="Arial"/>
          <w:sz w:val="24"/>
          <w:szCs w:val="24"/>
        </w:rPr>
        <w:t xml:space="preserve">5.2. Таможенные органы Кыргызской Республики:</w:t>
      </w:r>
    </w:p>
    <w:p>
      <w:pPr>
        <w:spacing w:after="120"/>
        <w:ind w:firstLine="397"/>
        <w:jc w:val="both"/>
      </w:pPr>
      <w:r>
        <w:rPr>
          <w:rFonts w:ascii="Arial" w:cs="Arial" w:eastAsia="Arial" w:hAnsi="Arial"/>
          <w:sz w:val="24"/>
          <w:szCs w:val="24"/>
        </w:rPr>
        <w:t xml:space="preserve">а) принимают банковские гарантии (договор страхования) при условии, что банк, филиал банка или страховая организация включены в Реестр и имеют действующее уведомление на право выступать перед таможенными органами в качестве гаранта;</w:t>
      </w:r>
    </w:p>
    <w:p>
      <w:pPr>
        <w:spacing w:after="120"/>
        <w:ind w:firstLine="397"/>
        <w:jc w:val="both"/>
      </w:pPr>
      <w:r>
        <w:rPr>
          <w:rFonts w:ascii="Arial" w:cs="Arial" w:eastAsia="Arial" w:hAnsi="Arial"/>
          <w:sz w:val="24"/>
          <w:szCs w:val="24"/>
        </w:rPr>
        <w:t xml:space="preserve">б) контролируют выполнение обязательств, обеспеченных принятыми банковскими гарантиями (договорами страхования), а также принимают необходимые меры по взысканию денежных средств в соответствии с условиями банковских гарантий (договора страхования) и требованиями законодательства Кыргызской Республики в случае неисполнения либо ненадлежащего исполнения гарантами таких обязательств;</w:t>
      </w:r>
    </w:p>
    <w:p>
      <w:pPr>
        <w:spacing w:after="120"/>
        <w:ind w:firstLine="397"/>
        <w:jc w:val="both"/>
      </w:pPr>
      <w:r>
        <w:rPr>
          <w:rFonts w:ascii="Arial" w:cs="Arial" w:eastAsia="Arial" w:hAnsi="Arial"/>
          <w:sz w:val="24"/>
          <w:szCs w:val="24"/>
        </w:rPr>
        <w:t xml:space="preserve">в) незамедлительно информируют по установленной форме (приложение № 4) уполномоченный государственный орган по таможенному делу обо всех фактах неисполнения банками или страховыми организациями требований таможенных органов об уплате денежных средств по банковским гарантиям и договорам страхования;</w:t>
      </w:r>
    </w:p>
    <w:p>
      <w:pPr>
        <w:spacing w:after="120"/>
        <w:ind w:firstLine="397"/>
        <w:jc w:val="both"/>
      </w:pPr>
      <w:r>
        <w:rPr>
          <w:rFonts w:ascii="Arial" w:cs="Arial" w:eastAsia="Arial" w:hAnsi="Arial"/>
          <w:sz w:val="24"/>
          <w:szCs w:val="24"/>
        </w:rPr>
        <w:t xml:space="preserve">г) запрашивают в необходимых случаях у банков, филиалов банков или страховых организаций заверенную в установленном порядке карточку с образцами подписей должностных лиц, которым предоставлено право подписи на банковских гарантиях и договорах страхования, и оттиском печати;</w:t>
      </w:r>
    </w:p>
    <w:p>
      <w:pPr>
        <w:spacing w:after="120"/>
        <w:ind w:firstLine="397"/>
        <w:jc w:val="both"/>
      </w:pPr>
      <w:r>
        <w:rPr>
          <w:rFonts w:ascii="Arial" w:cs="Arial" w:eastAsia="Arial" w:hAnsi="Arial"/>
          <w:sz w:val="24"/>
          <w:szCs w:val="24"/>
        </w:rPr>
        <w:t xml:space="preserve">д) осуществляют хранение банковских гарантий и договоров страхования в архиве, оборудованном в соответствии с основными правилами работы архивов организаций.</w:t>
      </w:r>
    </w:p>
    <w:p>
      <w:pPr>
        <w:spacing w:after="120"/>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1</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Уполномоченный государственный
 орган по таможенному делу</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ЗАЯВЛЕНИЕ
 о включении в Реестр банков и страховых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(полное наименование заявителя)</w:t>
      </w:r>
    </w:p>
    <w:p>
      <w:pPr>
        <w:spacing w:after="120"/>
        <w:ind w:firstLine="397"/>
        <w:jc w:val="both"/>
      </w:pPr>
      <w:r>
        <w:rPr>
          <w:rFonts w:ascii="Arial" w:cs="Arial" w:eastAsia="Arial" w:hAnsi="Arial"/>
          <w:sz w:val="24"/>
          <w:szCs w:val="24"/>
        </w:rPr>
        <w:t xml:space="preserve">просит рассмотреть документы и (повторно) включить его в реестр.</w:t>
      </w:r>
    </w:p>
    <w:p>
      <w:pPr>
        <w:spacing w:after="120"/>
        <w:ind w:firstLine="397"/>
        <w:jc w:val="both"/>
      </w:pPr>
      <w:r>
        <w:rPr>
          <w:rFonts w:ascii="Arial" w:cs="Arial" w:eastAsia="Arial" w:hAnsi="Arial"/>
          <w:sz w:val="24"/>
          <w:szCs w:val="24"/>
        </w:rPr>
        <w:t xml:space="preserve">_____________________________________ обязуется выполнять требова-</w:t>
      </w:r>
    </w:p>
    <w:p>
      <w:pPr>
        <w:spacing w:after="120"/>
        <w:ind w:firstLine="397"/>
        <w:jc w:val="both"/>
      </w:pPr>
      <w:r>
        <w:rPr>
          <w:rFonts w:ascii="Arial" w:cs="Arial" w:eastAsia="Arial" w:hAnsi="Arial"/>
          <w:sz w:val="24"/>
          <w:szCs w:val="24"/>
        </w:rPr>
        <w:t xml:space="preserve">(сокращенное наименование заявителя)</w:t>
      </w:r>
    </w:p>
    <w:p>
      <w:pPr>
        <w:spacing w:after="120"/>
        <w:ind w:firstLine="397"/>
        <w:jc w:val="both"/>
      </w:pPr>
      <w:r>
        <w:rPr>
          <w:rFonts w:ascii="Arial" w:cs="Arial" w:eastAsia="Arial" w:hAnsi="Arial"/>
          <w:sz w:val="24"/>
          <w:szCs w:val="24"/>
        </w:rPr>
        <w:t xml:space="preserve">ния, предъявляемые уполномоченным государственным органом по таможенному делу _____________________________________________________________</w:t>
      </w:r>
    </w:p>
    <w:p>
      <w:pPr>
        <w:spacing w:after="120"/>
        <w:ind w:firstLine="397"/>
        <w:jc w:val="both"/>
      </w:pPr>
      <w:r>
        <w:rPr>
          <w:rFonts w:ascii="Arial" w:cs="Arial" w:eastAsia="Arial" w:hAnsi="Arial"/>
          <w:sz w:val="24"/>
          <w:szCs w:val="24"/>
        </w:rPr>
        <w:t xml:space="preserve">(сокращенное наименование заявителя)</w:t>
      </w:r>
    </w:p>
    <w:p>
      <w:pPr>
        <w:spacing w:after="120"/>
        <w:ind w:firstLine="397"/>
        <w:jc w:val="both"/>
      </w:pPr>
      <w:r>
        <w:rPr>
          <w:rFonts w:ascii="Arial" w:cs="Arial" w:eastAsia="Arial" w:hAnsi="Arial"/>
          <w:sz w:val="24"/>
          <w:szCs w:val="24"/>
        </w:rPr>
        <w:t xml:space="preserve">просит включить в Реестр следующий(ие) свой(и) филиал(ы): 
 ____________ _______________________________________________________________________</w:t>
      </w:r>
    </w:p>
    <w:p>
      <w:pPr>
        <w:spacing w:after="120"/>
        <w:ind w:firstLine="397"/>
        <w:jc w:val="both"/>
      </w:pPr>
      <w:r>
        <w:rPr>
          <w:rFonts w:ascii="Arial" w:cs="Arial" w:eastAsia="Arial" w:hAnsi="Arial"/>
          <w:sz w:val="24"/>
          <w:szCs w:val="24"/>
        </w:rPr>
        <w:t xml:space="preserve">(сокращенное наименование филиала(ов))</w:t>
      </w:r>
    </w:p>
    <w:p>
      <w:pPr>
        <w:spacing w:after="120"/>
        <w:ind w:firstLine="397"/>
        <w:jc w:val="both"/>
      </w:pPr>
      <w:r>
        <w:rPr>
          <w:rFonts w:ascii="Arial" w:cs="Arial" w:eastAsia="Arial" w:hAnsi="Arial"/>
          <w:sz w:val="24"/>
          <w:szCs w:val="24"/>
        </w:rPr>
        <w:t xml:space="preserve">______________________________________________ принимает на себя полную</w:t>
      </w:r>
    </w:p>
    <w:p>
      <w:pPr>
        <w:spacing w:after="120"/>
        <w:ind w:firstLine="397"/>
        <w:jc w:val="both"/>
      </w:pPr>
      <w:r>
        <w:rPr>
          <w:rFonts w:ascii="Arial" w:cs="Arial" w:eastAsia="Arial" w:hAnsi="Arial"/>
          <w:sz w:val="24"/>
          <w:szCs w:val="24"/>
        </w:rPr>
        <w:t xml:space="preserve">(сокращенное наименование заявителя)</w:t>
      </w:r>
    </w:p>
    <w:p>
      <w:pPr>
        <w:spacing w:after="120"/>
        <w:ind w:firstLine="397"/>
        <w:jc w:val="both"/>
      </w:pPr>
      <w:r>
        <w:rPr>
          <w:rFonts w:ascii="Arial" w:cs="Arial" w:eastAsia="Arial" w:hAnsi="Arial"/>
          <w:sz w:val="24"/>
          <w:szCs w:val="24"/>
        </w:rPr>
        <w:t xml:space="preserve">ответственность по банковским гарантиям (договорам страхования), выдаваемым указанным(и) филиалом(ами), независимо от установленных для него (них) внутренними документами ограничений по суммам.</w:t>
      </w:r>
    </w:p>
    <w:p>
      <w:pPr>
        <w:spacing w:after="120"/>
        <w:ind w:firstLine="397"/>
        <w:jc w:val="both"/>
      </w:pPr>
      <w:r>
        <w:rPr>
          <w:rFonts w:ascii="Arial" w:cs="Arial" w:eastAsia="Arial" w:hAnsi="Arial"/>
          <w:sz w:val="24"/>
          <w:szCs w:val="24"/>
        </w:rPr>
        <w:t xml:space="preserve">Все необходимые документы для включения в Реестр прилагаются.</w:t>
      </w:r>
    </w:p>
    <w:p>
      <w:pPr>
        <w:spacing w:after="120"/>
        <w:ind w:firstLine="397"/>
        <w:jc w:val="both"/>
      </w:pPr>
      <w:r>
        <w:rPr>
          <w:rFonts w:ascii="Arial" w:cs="Arial" w:eastAsia="Arial" w:hAnsi="Arial"/>
          <w:sz w:val="24"/>
          <w:szCs w:val="24"/>
        </w:rPr>
        <w:t xml:space="preserve">Дополнительная информация:</w:t>
      </w:r>
    </w:p>
    <w:p>
      <w:pPr>
        <w:spacing w:after="120"/>
        <w:ind w:firstLine="397"/>
        <w:jc w:val="both"/>
      </w:pPr>
      <w:r>
        <w:rPr>
          <w:rFonts w:ascii="Arial" w:cs="Arial" w:eastAsia="Arial" w:hAnsi="Arial"/>
          <w:sz w:val="24"/>
          <w:szCs w:val="24"/>
        </w:rPr>
        <w:t xml:space="preserve">Срок осуществления банковской деятельности __________________ лет.</w:t>
      </w:r>
    </w:p>
    <w:p>
      <w:pPr>
        <w:spacing w:after="120"/>
        <w:ind w:firstLine="397"/>
        <w:jc w:val="both"/>
      </w:pPr>
      <w:r>
        <w:rPr>
          <w:rFonts w:ascii="Arial" w:cs="Arial" w:eastAsia="Arial" w:hAnsi="Arial"/>
          <w:sz w:val="24"/>
          <w:szCs w:val="24"/>
        </w:rPr>
        <w:t xml:space="preserve">Государственная регистрация: дата ______________ номер ___________</w:t>
      </w:r>
    </w:p>
    <w:p>
      <w:pPr>
        <w:spacing w:after="120"/>
        <w:ind w:firstLine="397"/>
        <w:jc w:val="both"/>
      </w:pPr>
      <w:r>
        <w:rPr>
          <w:rFonts w:ascii="Arial" w:cs="Arial" w:eastAsia="Arial" w:hAnsi="Arial"/>
          <w:sz w:val="24"/>
          <w:szCs w:val="24"/>
        </w:rPr>
        <w:t xml:space="preserve">ИНН (с кодом причины постановки на налоговый учет) _______________</w:t>
      </w:r>
    </w:p>
    <w:p>
      <w:pPr>
        <w:spacing w:after="120"/>
        <w:ind w:firstLine="397"/>
        <w:jc w:val="both"/>
      </w:pPr>
      <w:r>
        <w:rPr>
          <w:rFonts w:ascii="Arial" w:cs="Arial" w:eastAsia="Arial" w:hAnsi="Arial"/>
          <w:sz w:val="24"/>
          <w:szCs w:val="24"/>
        </w:rPr>
        <w:t xml:space="preserve">Код ОКПО _________________________________________________________</w:t>
      </w:r>
    </w:p>
    <w:p>
      <w:pPr>
        <w:spacing w:after="120"/>
        <w:ind w:firstLine="397"/>
        <w:jc w:val="both"/>
      </w:pPr>
      <w:r>
        <w:rPr>
          <w:rFonts w:ascii="Arial" w:cs="Arial" w:eastAsia="Arial" w:hAnsi="Arial"/>
          <w:sz w:val="24"/>
          <w:szCs w:val="24"/>
        </w:rPr>
        <w:t xml:space="preserve">Финансовые реквизиты: к/сч. ___________________ БИК ______________</w:t>
      </w:r>
    </w:p>
    <w:p>
      <w:pPr>
        <w:spacing w:after="120"/>
        <w:ind w:firstLine="397"/>
        <w:jc w:val="both"/>
      </w:pPr>
      <w:r>
        <w:rPr>
          <w:rFonts w:ascii="Arial" w:cs="Arial" w:eastAsia="Arial" w:hAnsi="Arial"/>
          <w:sz w:val="24"/>
          <w:szCs w:val="24"/>
        </w:rPr>
        <w:t xml:space="preserve">Почтовый адрес ___________________________________________________</w:t>
      </w:r>
    </w:p>
    <w:p>
      <w:pPr>
        <w:spacing w:after="120"/>
        <w:ind w:firstLine="397"/>
        <w:jc w:val="both"/>
      </w:pPr>
      <w:r>
        <w:rPr>
          <w:rFonts w:ascii="Arial" w:cs="Arial" w:eastAsia="Arial" w:hAnsi="Arial"/>
          <w:sz w:val="24"/>
          <w:szCs w:val="24"/>
        </w:rPr>
        <w:t xml:space="preserve">Телефон ___________________________ факс _________________________</w:t>
      </w:r>
    </w:p>
    <w:p>
      <w:pPr>
        <w:spacing w:after="120"/>
        <w:ind w:firstLine="397"/>
        <w:jc w:val="both"/>
      </w:pPr>
      <w:r>
        <w:rPr>
          <w:rFonts w:ascii="Arial" w:cs="Arial" w:eastAsia="Arial" w:hAnsi="Arial"/>
          <w:sz w:val="24"/>
          <w:szCs w:val="24"/>
        </w:rPr>
        <w:t xml:space="preserve">Адрес электронной почты 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 ____________ _____________________</w:t>
      </w:r>
    </w:p>
    <w:p>
      <w:pPr>
        <w:spacing w:after="120"/>
        <w:ind w:firstLine="397"/>
        <w:jc w:val="both"/>
      </w:pPr>
      <w:r>
        <w:rPr>
          <w:rFonts w:ascii="Arial" w:cs="Arial" w:eastAsia="Arial" w:hAnsi="Arial"/>
          <w:sz w:val="24"/>
          <w:szCs w:val="24"/>
        </w:rPr>
        <w:t xml:space="preserve">(наименование должности (подпись) (Инициалы, фамилия)</w:t>
      </w:r>
    </w:p>
    <w:p>
      <w:pPr>
        <w:spacing w:after="120"/>
        <w:ind w:firstLine="397"/>
        <w:jc w:val="both"/>
      </w:pPr>
      <w:r>
        <w:rPr>
          <w:rFonts w:ascii="Arial" w:cs="Arial" w:eastAsia="Arial" w:hAnsi="Arial"/>
          <w:sz w:val="24"/>
          <w:szCs w:val="24"/>
        </w:rPr>
        <w:t xml:space="preserve">руководителя)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Главный бухгалтер ____________ _____________________</w:t>
      </w:r>
    </w:p>
    <w:p>
      <w:pPr>
        <w:spacing w:after="120"/>
        <w:ind w:firstLine="397"/>
        <w:jc w:val="both"/>
      </w:pPr>
      <w:r>
        <w:rPr>
          <w:rFonts w:ascii="Arial" w:cs="Arial" w:eastAsia="Arial" w:hAnsi="Arial"/>
          <w:sz w:val="24"/>
          <w:szCs w:val="24"/>
        </w:rPr>
        <w:t xml:space="preserve">(подпись) (Инициалы, фамилия)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заполнения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УВЕДОМЛЕНИЕ</w:t>
      </w:r>
    </w:p>
    <w:p>
      <w:pPr>
        <w:spacing w:after="120"/>
        <w:ind w:firstLine="397"/>
        <w:jc w:val="both"/>
      </w:pPr>
      <w:r>
        <w:rPr>
          <w:rFonts w:ascii="Arial" w:cs="Arial" w:eastAsia="Arial" w:hAnsi="Arial"/>
          <w:sz w:val="24"/>
          <w:szCs w:val="24"/>
        </w:rPr>
        <w:t xml:space="preserve">№ ____________ от ________________</w:t>
      </w:r>
    </w:p>
    <w:p>
      <w:pPr>
        <w:spacing w:after="120"/>
        <w:ind w:firstLine="397"/>
        <w:jc w:val="both"/>
      </w:pPr>
      <w:r>
        <w:rPr>
          <w:rFonts w:ascii="Arial" w:cs="Arial" w:eastAsia="Arial" w:hAnsi="Arial"/>
          <w:sz w:val="24"/>
          <w:szCs w:val="24"/>
        </w:rPr>
        <w:t xml:space="preserve">на право выступать перед таможенными органами</w:t>
      </w:r>
    </w:p>
    <w:p>
      <w:pPr>
        <w:spacing w:after="120"/>
        <w:ind w:firstLine="397"/>
        <w:jc w:val="both"/>
      </w:pPr>
      <w:r>
        <w:rPr>
          <w:rFonts w:ascii="Arial" w:cs="Arial" w:eastAsia="Arial" w:hAnsi="Arial"/>
          <w:sz w:val="24"/>
          <w:szCs w:val="24"/>
        </w:rPr>
        <w:t xml:space="preserve">в качестве гаранта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Уполномоченный государственный орган по таможенному делу включил:</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(полное и сокращенное наименование организации)</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Код ОКПО _____________________ местонахождение (юридический адрес) _______________________________________________________________________ в Реестр банков и страховых организаций, которые могут выступать в качестве гаранта перед таможенными органами.</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(сокращенное наименование организации)</w:t>
      </w:r>
    </w:p>
    <w:p>
      <w:pPr>
        <w:spacing w:after="120"/>
        <w:ind w:firstLine="397"/>
        <w:jc w:val="both"/>
      </w:pPr>
      <w:r>
        <w:rPr>
          <w:rFonts w:ascii="Arial" w:cs="Arial" w:eastAsia="Arial" w:hAnsi="Arial"/>
          <w:sz w:val="24"/>
          <w:szCs w:val="24"/>
        </w:rPr>
        <w:t xml:space="preserve">имеет право выступать в качестве гаранта перед таможенными органами с "___" ___________________ _____ г. по "___" __________________ _____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уполномоченный государственный</w:t>
      </w:r>
    </w:p>
    <w:p>
      <w:pPr>
        <w:spacing w:after="120"/>
        <w:ind w:firstLine="397"/>
        <w:jc w:val="both"/>
      </w:pPr>
      <w:r>
        <w:rPr>
          <w:rFonts w:ascii="Arial" w:cs="Arial" w:eastAsia="Arial" w:hAnsi="Arial"/>
          <w:sz w:val="24"/>
          <w:szCs w:val="24"/>
        </w:rPr>
        <w:t xml:space="preserve">орган по таможенному делу</w:t>
      </w:r>
    </w:p>
    <w:p>
      <w:pPr>
        <w:spacing w:after="120"/>
        <w:ind w:firstLine="397"/>
        <w:jc w:val="both"/>
      </w:pPr>
      <w:r>
        <w:rPr>
          <w:rFonts w:ascii="Arial" w:cs="Arial" w:eastAsia="Arial" w:hAnsi="Arial"/>
          <w:sz w:val="24"/>
          <w:szCs w:val="24"/>
        </w:rPr>
        <w:t xml:space="preserve">__________________ ___________________________</w:t>
      </w:r>
    </w:p>
    <w:p>
      <w:pPr>
        <w:spacing w:after="120"/>
        <w:ind w:firstLine="397"/>
        <w:jc w:val="both"/>
      </w:pPr>
      <w:r>
        <w:rPr>
          <w:rFonts w:ascii="Arial" w:cs="Arial" w:eastAsia="Arial" w:hAnsi="Arial"/>
          <w:sz w:val="24"/>
          <w:szCs w:val="24"/>
        </w:rPr>
        <w:t xml:space="preserve">(подпись) (Инициалы, фамилия)</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 3</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РЕЕСТР
 банков и страховых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Сокращенное │Код │Местона-│ИНН│БИК│Государ- │  Номер и │   Дата   │</w:t>
      </w:r>
    </w:p>
    <w:p>
      <w:pPr>
        <w:spacing w:after="120"/>
        <w:ind w:firstLine="397"/>
        <w:jc w:val="both"/>
      </w:pPr>
      <w:r>
        <w:rPr>
          <w:rFonts w:ascii="Arial" w:cs="Arial" w:eastAsia="Arial" w:hAnsi="Arial"/>
          <w:sz w:val="24"/>
          <w:szCs w:val="24"/>
        </w:rPr>
        <w:t xml:space="preserve">│ │наименование │ОКПО│хождение│   │   │ственный │   дата   │окончания │</w:t>
      </w:r>
    </w:p>
    <w:p>
      <w:pPr>
        <w:spacing w:after="120"/>
        <w:ind w:firstLine="397"/>
        <w:jc w:val="both"/>
      </w:pPr>
      <w:r>
        <w:rPr>
          <w:rFonts w:ascii="Arial" w:cs="Arial" w:eastAsia="Arial" w:hAnsi="Arial"/>
          <w:sz w:val="24"/>
          <w:szCs w:val="24"/>
        </w:rPr>
        <w:t xml:space="preserve">│ │    банка,   │    │(юриди- │   │   │регистра-│разрешения│ действия │</w:t>
      </w:r>
    </w:p>
    <w:p>
      <w:pPr>
        <w:spacing w:after="120"/>
        <w:ind w:firstLine="397"/>
        <w:jc w:val="both"/>
      </w:pPr>
      <w:r>
        <w:rPr>
          <w:rFonts w:ascii="Arial" w:cs="Arial" w:eastAsia="Arial" w:hAnsi="Arial"/>
          <w:sz w:val="24"/>
          <w:szCs w:val="24"/>
        </w:rPr>
        <w:t xml:space="preserve">│ │кредитной или│    │ ческий │   │   │ ционный │ Комитета │разрешения│</w:t>
      </w:r>
    </w:p>
    <w:p>
      <w:pPr>
        <w:spacing w:after="120"/>
        <w:ind w:firstLine="397"/>
        <w:jc w:val="both"/>
      </w:pPr>
      <w:r>
        <w:rPr>
          <w:rFonts w:ascii="Arial" w:cs="Arial" w:eastAsia="Arial" w:hAnsi="Arial"/>
          <w:sz w:val="24"/>
          <w:szCs w:val="24"/>
        </w:rPr>
        <w:t xml:space="preserve">│ │  страховой  │    │ адрес) │   │   │  номер  │по доходам│ на право │</w:t>
      </w:r>
    </w:p>
    <w:p>
      <w:pPr>
        <w:spacing w:after="120"/>
        <w:ind w:firstLine="397"/>
        <w:jc w:val="both"/>
      </w:pPr>
      <w:r>
        <w:rPr>
          <w:rFonts w:ascii="Arial" w:cs="Arial" w:eastAsia="Arial" w:hAnsi="Arial"/>
          <w:sz w:val="24"/>
          <w:szCs w:val="24"/>
        </w:rPr>
        <w:t xml:space="preserve">│ │ организации │    │        │   │   │         │ на право │ выдавать │</w:t>
      </w:r>
    </w:p>
    <w:p>
      <w:pPr>
        <w:spacing w:after="120"/>
        <w:ind w:firstLine="397"/>
        <w:jc w:val="both"/>
      </w:pPr>
      <w:r>
        <w:rPr>
          <w:rFonts w:ascii="Arial" w:cs="Arial" w:eastAsia="Arial" w:hAnsi="Arial"/>
          <w:sz w:val="24"/>
          <w:szCs w:val="24"/>
        </w:rPr>
        <w:t xml:space="preserve">│ │             │    │        │   │   │         │ выдавать │ гарантии │</w:t>
      </w:r>
    </w:p>
    <w:p>
      <w:pPr>
        <w:spacing w:after="120"/>
        <w:ind w:firstLine="397"/>
        <w:jc w:val="both"/>
      </w:pPr>
      <w:r>
        <w:rPr>
          <w:rFonts w:ascii="Arial" w:cs="Arial" w:eastAsia="Arial" w:hAnsi="Arial"/>
          <w:sz w:val="24"/>
          <w:szCs w:val="24"/>
        </w:rPr>
        <w:t xml:space="preserve">│ │             │    │        │   │   │         │ гарантии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2      │  3 │    4   │ 5 │ 6 │    7    │     8    │     9    │</w:t>
      </w:r>
    </w:p>
    <w:p>
      <w:pPr>
        <w:spacing w:after="120"/>
        <w:ind w:firstLine="397"/>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 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ДАННЫЕ</w:t>
      </w:r>
    </w:p>
    <w:p>
      <w:pPr>
        <w:spacing w:after="120"/>
        <w:ind w:firstLine="397"/>
        <w:jc w:val="both"/>
      </w:pPr>
      <w:r>
        <w:rPr>
          <w:rFonts w:ascii="Arial" w:cs="Arial" w:eastAsia="Arial" w:hAnsi="Arial"/>
          <w:sz w:val="24"/>
          <w:szCs w:val="24"/>
        </w:rPr>
        <w:t xml:space="preserve">о неисполнении банками и страховыми организациями</w:t>
      </w:r>
    </w:p>
    <w:p>
      <w:pPr>
        <w:spacing w:after="120"/>
        <w:ind w:firstLine="397"/>
        <w:jc w:val="both"/>
      </w:pPr>
      <w:r>
        <w:rPr>
          <w:rFonts w:ascii="Arial" w:cs="Arial" w:eastAsia="Arial" w:hAnsi="Arial"/>
          <w:sz w:val="24"/>
          <w:szCs w:val="24"/>
        </w:rPr>
        <w:t xml:space="preserve">своих обязательств по банковским гарантиям</w:t>
      </w:r>
    </w:p>
    <w:p>
      <w:pPr>
        <w:spacing w:after="120"/>
        <w:ind w:firstLine="397"/>
        <w:jc w:val="both"/>
      </w:pPr>
      <w:r>
        <w:rPr>
          <w:rFonts w:ascii="Arial" w:cs="Arial" w:eastAsia="Arial" w:hAnsi="Arial"/>
          <w:sz w:val="24"/>
          <w:szCs w:val="24"/>
        </w:rPr>
        <w:t xml:space="preserve">(договорам страхования) в регионе</w:t>
      </w:r>
    </w:p>
    <w:p>
      <w:pPr>
        <w:spacing w:after="120"/>
        <w:ind w:firstLine="397"/>
        <w:jc w:val="both"/>
      </w:pPr>
      <w:r>
        <w:rPr>
          <w:rFonts w:ascii="Arial" w:cs="Arial" w:eastAsia="Arial" w:hAnsi="Arial"/>
          <w:sz w:val="24"/>
          <w:szCs w:val="24"/>
        </w:rPr>
        <w:t xml:space="preserve">деятельности _________________________________</w:t>
      </w:r>
    </w:p>
    <w:p>
      <w:pPr>
        <w:spacing w:after="120"/>
        <w:ind w:firstLine="397"/>
        <w:jc w:val="both"/>
      </w:pPr>
      <w:r>
        <w:rPr>
          <w:rFonts w:ascii="Arial" w:cs="Arial" w:eastAsia="Arial" w:hAnsi="Arial"/>
          <w:sz w:val="24"/>
          <w:szCs w:val="24"/>
        </w:rPr>
        <w:t xml:space="preserve">(наименование таможенного органа)</w:t>
      </w:r>
    </w:p>
    <w:p>
      <w:pPr>
        <w:spacing w:after="120"/>
        <w:ind w:firstLine="397"/>
        <w:jc w:val="both"/>
      </w:pPr>
      <w:r>
        <w:rPr>
          <w:rFonts w:ascii="Arial" w:cs="Arial" w:eastAsia="Arial" w:hAnsi="Arial"/>
          <w:sz w:val="24"/>
          <w:szCs w:val="24"/>
        </w:rPr>
        <w:t xml:space="preserve">с _______________ по 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│№│Наиме- │Код │Наиме-  │№ и   │Сумма  │Дата   │№ и    │Срок   │При-  │</w:t>
      </w:r>
    </w:p>
    <w:p>
      <w:pPr>
        <w:spacing w:after="120"/>
        <w:ind w:firstLine="397"/>
        <w:jc w:val="both"/>
      </w:pPr>
      <w:r>
        <w:rPr>
          <w:rFonts w:ascii="Arial" w:cs="Arial" w:eastAsia="Arial" w:hAnsi="Arial"/>
          <w:sz w:val="24"/>
          <w:szCs w:val="24"/>
        </w:rPr>
        <w:t xml:space="preserve">│ │нование│ОКПО│нование │дата  │банков-│окон-  │дата   │уплаты │нятые │</w:t>
      </w:r>
    </w:p>
    <w:p>
      <w:pPr>
        <w:spacing w:after="120"/>
        <w:ind w:firstLine="397"/>
        <w:jc w:val="both"/>
      </w:pPr>
      <w:r>
        <w:rPr>
          <w:rFonts w:ascii="Arial" w:cs="Arial" w:eastAsia="Arial" w:hAnsi="Arial"/>
          <w:sz w:val="24"/>
          <w:szCs w:val="24"/>
        </w:rPr>
        <w:t xml:space="preserve">│ │банка  │    │и код   │бан-  │ской   │чания  │требо- │в соот-│меры  │</w:t>
      </w:r>
    </w:p>
    <w:p>
      <w:pPr>
        <w:spacing w:after="120"/>
        <w:ind w:firstLine="397"/>
        <w:jc w:val="both"/>
      </w:pPr>
      <w:r>
        <w:rPr>
          <w:rFonts w:ascii="Arial" w:cs="Arial" w:eastAsia="Arial" w:hAnsi="Arial"/>
          <w:sz w:val="24"/>
          <w:szCs w:val="24"/>
        </w:rPr>
        <w:t xml:space="preserve">│ │или    │    │ОКПО    │ков-  │гаран- │срока  │вания  │вет-   │по    │</w:t>
      </w:r>
    </w:p>
    <w:p>
      <w:pPr>
        <w:spacing w:after="120"/>
        <w:ind w:firstLine="397"/>
        <w:jc w:val="both"/>
      </w:pPr>
      <w:r>
        <w:rPr>
          <w:rFonts w:ascii="Arial" w:cs="Arial" w:eastAsia="Arial" w:hAnsi="Arial"/>
          <w:sz w:val="24"/>
          <w:szCs w:val="24"/>
        </w:rPr>
        <w:t xml:space="preserve">│ │стра-  │    │органи- │ской  │тии (с │дейст- │тамо-  │ствии с│взыс- │</w:t>
      </w:r>
    </w:p>
    <w:p>
      <w:pPr>
        <w:spacing w:after="120"/>
        <w:ind w:firstLine="397"/>
        <w:jc w:val="both"/>
      </w:pPr>
      <w:r>
        <w:rPr>
          <w:rFonts w:ascii="Arial" w:cs="Arial" w:eastAsia="Arial" w:hAnsi="Arial"/>
          <w:sz w:val="24"/>
          <w:szCs w:val="24"/>
        </w:rPr>
        <w:t xml:space="preserve">│ │ховой  │    │зации,  │гаран-│указа- │вия    │женного│выстав-│канию │</w:t>
      </w:r>
    </w:p>
    <w:p>
      <w:pPr>
        <w:spacing w:after="120"/>
        <w:ind w:firstLine="397"/>
        <w:jc w:val="both"/>
      </w:pPr>
      <w:r>
        <w:rPr>
          <w:rFonts w:ascii="Arial" w:cs="Arial" w:eastAsia="Arial" w:hAnsi="Arial"/>
          <w:sz w:val="24"/>
          <w:szCs w:val="24"/>
        </w:rPr>
        <w:t xml:space="preserve">│ │орга-  │    │чьи     │тии   │нием   │банков-│органа │ленным │задол-│</w:t>
      </w:r>
    </w:p>
    <w:p>
      <w:pPr>
        <w:spacing w:after="120"/>
        <w:ind w:firstLine="397"/>
        <w:jc w:val="both"/>
      </w:pPr>
      <w:r>
        <w:rPr>
          <w:rFonts w:ascii="Arial" w:cs="Arial" w:eastAsia="Arial" w:hAnsi="Arial"/>
          <w:sz w:val="24"/>
          <w:szCs w:val="24"/>
        </w:rPr>
        <w:t xml:space="preserve">│ │низации│    │обяза-  │      │валюты)│ской   │об     │требо- │жен-  │</w:t>
      </w:r>
    </w:p>
    <w:p>
      <w:pPr>
        <w:spacing w:after="120"/>
        <w:ind w:firstLine="397"/>
        <w:jc w:val="both"/>
      </w:pPr>
      <w:r>
        <w:rPr>
          <w:rFonts w:ascii="Arial" w:cs="Arial" w:eastAsia="Arial" w:hAnsi="Arial"/>
          <w:sz w:val="24"/>
          <w:szCs w:val="24"/>
        </w:rPr>
        <w:t xml:space="preserve">│ │       │    │тельства│      │       │гаран- │оплате │ванием │ности │</w:t>
      </w:r>
    </w:p>
    <w:p>
      <w:pPr>
        <w:spacing w:after="120"/>
        <w:ind w:firstLine="397"/>
        <w:jc w:val="both"/>
      </w:pPr>
      <w:r>
        <w:rPr>
          <w:rFonts w:ascii="Arial" w:cs="Arial" w:eastAsia="Arial" w:hAnsi="Arial"/>
          <w:sz w:val="24"/>
          <w:szCs w:val="24"/>
        </w:rPr>
        <w:t xml:space="preserve">│ │       │    │обеспе- │      │       │тии    │денеж- │       │      │</w:t>
      </w:r>
    </w:p>
    <w:p>
      <w:pPr>
        <w:spacing w:after="120"/>
        <w:ind w:firstLine="397"/>
        <w:jc w:val="both"/>
      </w:pPr>
      <w:r>
        <w:rPr>
          <w:rFonts w:ascii="Arial" w:cs="Arial" w:eastAsia="Arial" w:hAnsi="Arial"/>
          <w:sz w:val="24"/>
          <w:szCs w:val="24"/>
        </w:rPr>
        <w:t xml:space="preserve">│ │       │    │чивает  │      │       │       │ных    │       │      │</w:t>
      </w:r>
    </w:p>
    <w:p>
      <w:pPr>
        <w:spacing w:after="120"/>
        <w:ind w:firstLine="397"/>
        <w:jc w:val="both"/>
      </w:pPr>
      <w:r>
        <w:rPr>
          <w:rFonts w:ascii="Arial" w:cs="Arial" w:eastAsia="Arial" w:hAnsi="Arial"/>
          <w:sz w:val="24"/>
          <w:szCs w:val="24"/>
        </w:rPr>
        <w:t xml:space="preserve">│ │       │    │банков- │      │       │       │средств│       │      │</w:t>
      </w:r>
    </w:p>
    <w:p>
      <w:pPr>
        <w:spacing w:after="120"/>
        <w:ind w:firstLine="397"/>
        <w:jc w:val="both"/>
      </w:pPr>
      <w:r>
        <w:rPr>
          <w:rFonts w:ascii="Arial" w:cs="Arial" w:eastAsia="Arial" w:hAnsi="Arial"/>
          <w:sz w:val="24"/>
          <w:szCs w:val="24"/>
        </w:rPr>
        <w:t xml:space="preserve">│ │       │    │ская    │      │       │       │по     │       │      │</w:t>
      </w:r>
    </w:p>
    <w:p>
      <w:pPr>
        <w:spacing w:after="120"/>
        <w:ind w:firstLine="397"/>
        <w:jc w:val="both"/>
      </w:pPr>
      <w:r>
        <w:rPr>
          <w:rFonts w:ascii="Arial" w:cs="Arial" w:eastAsia="Arial" w:hAnsi="Arial"/>
          <w:sz w:val="24"/>
          <w:szCs w:val="24"/>
        </w:rPr>
        <w:t xml:space="preserve">│ │       │    │гарантия│      │       │       │гаран- │       │      │</w:t>
      </w:r>
    </w:p>
    <w:p>
      <w:pPr>
        <w:spacing w:after="120"/>
        <w:ind w:firstLine="397"/>
        <w:jc w:val="both"/>
      </w:pPr>
      <w:r>
        <w:rPr>
          <w:rFonts w:ascii="Arial" w:cs="Arial" w:eastAsia="Arial" w:hAnsi="Arial"/>
          <w:sz w:val="24"/>
          <w:szCs w:val="24"/>
        </w:rPr>
        <w:t xml:space="preserve">│ │       │    │        │      │       │       │тии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2   │  3 │    4   │   5  │   6   │   7   │   8   │   9   │  10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hyperlink w:history="1" r:id="rIdz0dzrw4cxwfy5ibdtvpz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марта 2005 года № 123</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уведомления о прибытии товаров и транспортных средств на таможенную территорию Кыргызской Республики при перевозке товаров автомобильным, железнодорожным, воздушным и иными видами транспорта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2. Особенности уведомления о прибытии товаров</w:t>
      </w:r>
    </w:p>
    <w:p>
      <w:pPr>
        <w:spacing w:after="120"/>
        <w:ind w:firstLine="397"/>
        <w:jc w:val="both"/>
      </w:pPr>
      <w:r>
        <w:rPr>
          <w:rFonts w:ascii="Arial" w:cs="Arial" w:eastAsia="Arial" w:hAnsi="Arial"/>
          <w:sz w:val="24"/>
          <w:szCs w:val="24"/>
        </w:rPr>
        <w:t xml:space="preserve">на таможенную территорию Кыргызской Республики</w:t>
      </w:r>
    </w:p>
    <w:p>
      <w:pPr>
        <w:spacing w:after="120"/>
        <w:ind w:firstLine="397"/>
        <w:jc w:val="both"/>
      </w:pPr>
      <w:r>
        <w:rPr>
          <w:rFonts w:ascii="Arial" w:cs="Arial" w:eastAsia="Arial" w:hAnsi="Arial"/>
          <w:sz w:val="24"/>
          <w:szCs w:val="24"/>
        </w:rPr>
        <w:t xml:space="preserve">при перевозке товаров железнодорожным, воздушным</w:t>
      </w:r>
    </w:p>
    <w:p>
      <w:pPr>
        <w:spacing w:after="120"/>
        <w:ind w:firstLine="397"/>
        <w:jc w:val="both"/>
      </w:pPr>
      <w:r>
        <w:rPr>
          <w:rFonts w:ascii="Arial" w:cs="Arial" w:eastAsia="Arial" w:hAnsi="Arial"/>
          <w:sz w:val="24"/>
          <w:szCs w:val="24"/>
        </w:rPr>
        <w:t xml:space="preserve">и иными видам транспорта</w:t>
      </w:r>
    </w:p>
    <w:p>
      <w:pPr>
        <w:spacing w:after="120"/>
        <w:ind w:firstLine="397"/>
        <w:jc w:val="both"/>
      </w:pPr>
      <w:r>
        <w:rPr>
          <w:rFonts w:ascii="Arial" w:cs="Arial" w:eastAsia="Arial" w:hAnsi="Arial"/>
          <w:sz w:val="24"/>
          <w:szCs w:val="24"/>
        </w:rPr>
        <w:t xml:space="preserve">Приложение. Журнал регистрации уведомлений о прибытии товаров</w:t>
      </w:r>
    </w:p>
    <w:p>
      <w:pPr>
        <w:spacing w:after="120"/>
        <w:ind w:firstLine="397"/>
        <w:jc w:val="both"/>
      </w:pPr>
      <w:r>
        <w:rPr>
          <w:rFonts w:ascii="Arial" w:cs="Arial" w:eastAsia="Arial" w:hAnsi="Arial"/>
          <w:sz w:val="24"/>
          <w:szCs w:val="24"/>
        </w:rPr>
        <w:t xml:space="preserve">и транспортных средств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Настоящее Положение подготовлено в соответствии со статьей 43 Таможенного </w:t>
      </w:r>
      <w:hyperlink w:history="1" r:id="rIdyu6o9-bx12-ov953jjw3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определяет порядок уведомления о прибытии товаров и транспортных средств на таможенную территорию Кыргызской Республики при перевозке товаров автомобильным, железнодорожным, воздушным и иными видами транспорта.</w:t>
      </w:r>
    </w:p>
    <w:p>
      <w:pPr>
        <w:spacing w:after="120"/>
        <w:ind w:firstLine="397"/>
        <w:jc w:val="both"/>
      </w:pPr>
      <w:r>
        <w:rPr>
          <w:rFonts w:ascii="Arial" w:cs="Arial" w:eastAsia="Arial" w:hAnsi="Arial"/>
          <w:sz w:val="24"/>
          <w:szCs w:val="24"/>
        </w:rPr>
        <w:t xml:space="preserve">1.2. Лицо, перемещающее товары, а также уполномоченное по совершению определенных действий в отношении перемещаемого товара лицо, или перевозчик обязан уведомить таможенный орган о прибытии товаров и транспортных средств на таможенную территорию Кыргызской Республики.</w:t>
      </w:r>
    </w:p>
    <w:p>
      <w:pPr>
        <w:spacing w:after="120"/>
        <w:ind w:firstLine="397"/>
        <w:jc w:val="both"/>
      </w:pPr>
      <w:r>
        <w:rPr>
          <w:rFonts w:ascii="Arial" w:cs="Arial" w:eastAsia="Arial" w:hAnsi="Arial"/>
          <w:sz w:val="24"/>
          <w:szCs w:val="24"/>
        </w:rPr>
        <w:t xml:space="preserve">1.3. Сведения предоставляются таможенному органу до или одновременно с прибытием товаров и транспортных средств на таможенную территорию Кыргызской Республики.</w:t>
      </w:r>
    </w:p>
    <w:p>
      <w:pPr>
        <w:spacing w:after="120"/>
        <w:ind w:firstLine="397"/>
        <w:jc w:val="both"/>
      </w:pPr>
      <w:r>
        <w:rPr>
          <w:rFonts w:ascii="Arial" w:cs="Arial" w:eastAsia="Arial" w:hAnsi="Arial"/>
          <w:sz w:val="24"/>
          <w:szCs w:val="24"/>
        </w:rPr>
        <w:t xml:space="preserve">1.4. Юридически уведомление о прибытии товаров и транспортных средств на таможенную территорию Кыргызской Республики выражается направлением таможенному органу письменной, электронной или в иной форме информации лицами, указанными в пункте 1.2 настоящего Положения. Поданное уведомление подлежит регистрации таможенным органом в отдельном журнале регистрации прибытия путем внесения записей (приложение). При этом на уведомление должностное лицо таможенного органа вносит запись "С уведомлением ознакомлен", заверяет подписью и личной номерной печатью.</w:t>
      </w:r>
    </w:p>
    <w:p>
      <w:pPr>
        <w:spacing w:after="120"/>
        <w:ind w:firstLine="397"/>
        <w:jc w:val="both"/>
      </w:pPr>
      <w:r>
        <w:rPr>
          <w:rFonts w:ascii="Arial" w:cs="Arial" w:eastAsia="Arial" w:hAnsi="Arial"/>
          <w:sz w:val="24"/>
          <w:szCs w:val="24"/>
        </w:rPr>
        <w:t xml:space="preserve">1.5. Письменной формой уведомления, предоставляемой перевозчиком, считается подача товаро-транспортного документа, имеющего отношение к перемещаемым товарам и транспортным средствам.</w:t>
      </w:r>
    </w:p>
    <w:p>
      <w:pPr>
        <w:spacing w:after="120"/>
        <w:ind w:firstLine="397"/>
        <w:jc w:val="both"/>
      </w:pPr>
      <w:r>
        <w:rPr>
          <w:rFonts w:ascii="Arial" w:cs="Arial" w:eastAsia="Arial" w:hAnsi="Arial"/>
          <w:sz w:val="24"/>
          <w:szCs w:val="24"/>
        </w:rPr>
        <w:t xml:space="preserve">2. Особенности уведомления о прибытии товаров на таможенную территорию Кыргызской Республики при перевозке товаров железнодорожным, воздушным и иными видам транспорта</w:t>
      </w:r>
    </w:p>
    <w:p>
      <w:pPr>
        <w:spacing w:after="120"/>
        <w:ind w:firstLine="397"/>
        <w:jc w:val="both"/>
      </w:pPr>
      <w:r>
        <w:rPr>
          <w:rFonts w:ascii="Arial" w:cs="Arial" w:eastAsia="Arial" w:hAnsi="Arial"/>
          <w:sz w:val="24"/>
          <w:szCs w:val="24"/>
        </w:rPr>
        <w:t xml:space="preserve">2.1. На железнодорожных станциях уведомление о прибытии производится путем представления в письменной или электронной форме товарной конторой станции таможенному органу сведений о поступивших на железнодорожные станции товарах и транспортных средствах.</w:t>
      </w:r>
    </w:p>
    <w:p>
      <w:pPr>
        <w:spacing w:after="120"/>
        <w:ind w:firstLine="397"/>
        <w:jc w:val="both"/>
      </w:pPr>
      <w:r>
        <w:rPr>
          <w:rFonts w:ascii="Arial" w:cs="Arial" w:eastAsia="Arial" w:hAnsi="Arial"/>
          <w:sz w:val="24"/>
          <w:szCs w:val="24"/>
        </w:rPr>
        <w:t xml:space="preserve">2.2. Факт передачи сведений отражается должностными лицами товарной конторы станции в специальной книге, форма которой устанавливается совместно начальниками соответствующего таможенного органа и железнодорожной станции.</w:t>
      </w:r>
    </w:p>
    <w:p>
      <w:pPr>
        <w:spacing w:after="120"/>
        <w:ind w:firstLine="397"/>
        <w:jc w:val="both"/>
      </w:pPr>
      <w:r>
        <w:rPr>
          <w:rFonts w:ascii="Arial" w:cs="Arial" w:eastAsia="Arial" w:hAnsi="Arial"/>
          <w:sz w:val="24"/>
          <w:szCs w:val="24"/>
        </w:rPr>
        <w:t xml:space="preserve">2.3. Подача расписания международных грузопассажирских железнодорожных регулярных и нерегулярных отправлений считается предоставлением таможенному органу уведомления о прибытии транспортных средств.</w:t>
      </w:r>
    </w:p>
    <w:p>
      <w:pPr>
        <w:spacing w:after="120"/>
        <w:ind w:firstLine="397"/>
        <w:jc w:val="both"/>
      </w:pPr>
      <w:r>
        <w:rPr>
          <w:rFonts w:ascii="Arial" w:cs="Arial" w:eastAsia="Arial" w:hAnsi="Arial"/>
          <w:sz w:val="24"/>
          <w:szCs w:val="24"/>
        </w:rPr>
        <w:t xml:space="preserve">2.4. Ответственные сотрудники и перечень обязательных минимальных сведений определяются начальниками станций и таможенного органа с учетом специфики работы.</w:t>
      </w:r>
    </w:p>
    <w:p>
      <w:pPr>
        <w:spacing w:after="120"/>
        <w:ind w:firstLine="397"/>
        <w:jc w:val="both"/>
      </w:pPr>
      <w:r>
        <w:rPr>
          <w:rFonts w:ascii="Arial" w:cs="Arial" w:eastAsia="Arial" w:hAnsi="Arial"/>
          <w:sz w:val="24"/>
          <w:szCs w:val="24"/>
        </w:rPr>
        <w:t xml:space="preserve">2.5. Уведомление о прибытии товаров воздушным транспортом на таможенную территорию Кыргызской Республики производится путем представления таможенному органу расписания движения самолетов на международных воздушных линиях гражданской авиации, сведений об экипаже воздушного судна, числе пассажиров, следующих до данного аэропорта и транзитом, а также о находящихся на воздушном судне товарах и почте.</w:t>
      </w:r>
    </w:p>
    <w:p>
      <w:pPr>
        <w:spacing w:after="120"/>
        <w:ind w:firstLine="397"/>
        <w:jc w:val="both"/>
      </w:pPr>
      <w:r>
        <w:rPr>
          <w:rFonts w:ascii="Arial" w:cs="Arial" w:eastAsia="Arial" w:hAnsi="Arial"/>
          <w:sz w:val="24"/>
          <w:szCs w:val="24"/>
        </w:rPr>
        <w:t xml:space="preserve">2.6. О прибытии воздушных судов, следующих вне расписания, а также о всех задержках прибытия рейсовых воздушных судов администрация международного аэропорта (аэродрома) ставит в известность таможенный орган не позднее чем за час до прибытия таких судов.</w:t>
      </w:r>
    </w:p>
    <w:p>
      <w:pPr>
        <w:spacing w:after="120"/>
        <w:ind w:firstLine="397"/>
        <w:jc w:val="both"/>
      </w:pPr>
      <w:r>
        <w:rPr>
          <w:rFonts w:ascii="Arial" w:cs="Arial" w:eastAsia="Arial" w:hAnsi="Arial"/>
          <w:sz w:val="24"/>
          <w:szCs w:val="24"/>
        </w:rPr>
        <w:t xml:space="preserve">2.7. При перемещении товаров трубопроводным транспортом и по линиям электропередачи уведомление о прибытии товаров может выражаться в представлении перевозчиком таможенному органу контрактов, протоколов, лицензий и иных документов, имеющих отношение к перемещению товаров.</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ЖУРНАЛ
 регистрации уведомлений о прибытии товаров и транспортных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│№│Время и дата│  Ф.И.О. и  │   Ф.И.О. и  │Регистрационный│Примечание │</w:t>
      </w:r>
    </w:p>
    <w:p>
      <w:pPr>
        <w:spacing w:after="120"/>
        <w:ind w:firstLine="397"/>
        <w:jc w:val="both"/>
      </w:pPr>
      <w:r>
        <w:rPr>
          <w:rFonts w:ascii="Arial" w:cs="Arial" w:eastAsia="Arial" w:hAnsi="Arial"/>
          <w:sz w:val="24"/>
          <w:szCs w:val="24"/>
        </w:rPr>
        <w:t xml:space="preserve">│ │  принятия  │   подпись  │подпись лица,│     номер     │           │</w:t>
      </w:r>
    </w:p>
    <w:p>
      <w:pPr>
        <w:spacing w:after="120"/>
        <w:ind w:firstLine="397"/>
        <w:jc w:val="both"/>
      </w:pPr>
      <w:r>
        <w:rPr>
          <w:rFonts w:ascii="Arial" w:cs="Arial" w:eastAsia="Arial" w:hAnsi="Arial"/>
          <w:sz w:val="24"/>
          <w:szCs w:val="24"/>
        </w:rPr>
        <w:t xml:space="preserve">│ │уведомления │должностного│  подавшего  │  уведомления  │           │</w:t>
      </w:r>
    </w:p>
    <w:p>
      <w:pPr>
        <w:spacing w:after="120"/>
        <w:ind w:firstLine="397"/>
        <w:jc w:val="both"/>
      </w:pPr>
      <w:r>
        <w:rPr>
          <w:rFonts w:ascii="Arial" w:cs="Arial" w:eastAsia="Arial" w:hAnsi="Arial"/>
          <w:sz w:val="24"/>
          <w:szCs w:val="24"/>
        </w:rPr>
        <w:t xml:space="preserve">│ │            │    лица,   │ уведомление │               │           │</w:t>
      </w:r>
    </w:p>
    <w:p>
      <w:pPr>
        <w:spacing w:after="120"/>
        <w:ind w:firstLine="397"/>
        <w:jc w:val="both"/>
      </w:pPr>
      <w:r>
        <w:rPr>
          <w:rFonts w:ascii="Arial" w:cs="Arial" w:eastAsia="Arial" w:hAnsi="Arial"/>
          <w:sz w:val="24"/>
          <w:szCs w:val="24"/>
        </w:rPr>
        <w:t xml:space="preserve">│ │            │принявшего  │             │               │           │</w:t>
      </w:r>
    </w:p>
    <w:p>
      <w:pPr>
        <w:spacing w:after="120"/>
        <w:ind w:firstLine="397"/>
        <w:jc w:val="both"/>
      </w:pPr>
      <w:r>
        <w:rPr>
          <w:rFonts w:ascii="Arial" w:cs="Arial" w:eastAsia="Arial" w:hAnsi="Arial"/>
          <w:sz w:val="24"/>
          <w:szCs w:val="24"/>
        </w:rPr>
        <w:t xml:space="preserve">│ │            │уведомление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2     │      3     │      4      │        5      │     6     │</w:t>
      </w:r>
    </w:p>
    <w:p>
      <w:pPr>
        <w:spacing w:after="120"/>
        <w:ind w:firstLine="397"/>
        <w:jc w:val="both"/>
      </w:pPr>
      <w:r>
        <w:rPr>
          <w:rFonts w:ascii="Arial" w:cs="Arial" w:eastAsia="Arial" w:hAnsi="Arial"/>
          <w:sz w:val="24"/>
          <w:szCs w:val="24"/>
        </w:rPr>
        <w:t xml:space="preserve">└─┴────────────┴────────────┴─────────────┴───────────────┴───────────┘</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hyperlink w:history="1" r:id="rIdtrdsidfgx2df9vs5vfsr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марта 2005 года № 123</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формирования и использования сведений по ввозимым товарам на таможенную территорию Кыргызской Республики</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w:t>
      </w:r>
      <w:hyperlink w:history="1" r:id="rIdq4xy39vbzby2di_ds3p5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22 февраля 2011 года № 63)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Порядок определяет формирование и использование сведений по товарам, ввозимым на таможенную территорию Кыргызской Республики (далее - ценовой информации), в целях контроля таможенной стоимости товаров, ввозимых на таможенную территорию Кыргызской Республики.</w:t>
      </w:r>
    </w:p>
    <w:p>
      <w:pPr>
        <w:spacing w:after="120"/>
        <w:ind w:firstLine="397"/>
        <w:jc w:val="both"/>
      </w:pPr>
      <w:r>
        <w:rPr>
          <w:rFonts w:ascii="Arial" w:cs="Arial" w:eastAsia="Arial" w:hAnsi="Arial"/>
          <w:sz w:val="24"/>
          <w:szCs w:val="24"/>
        </w:rPr>
        <w:t xml:space="preserve">2. В настоящем Порядке используются понятия, которые определяются в соответствии с Таможенным кодексом Кыргызской Республики.</w:t>
      </w:r>
    </w:p>
    <w:p>
      <w:pPr>
        <w:spacing w:after="120"/>
        <w:ind w:firstLine="397"/>
        <w:jc w:val="both"/>
      </w:pPr>
      <w:r>
        <w:rPr>
          <w:rFonts w:ascii="Arial" w:cs="Arial" w:eastAsia="Arial" w:hAnsi="Arial"/>
          <w:sz w:val="24"/>
          <w:szCs w:val="24"/>
        </w:rPr>
        <w:t xml:space="preserve">3. Ценовая информация формируется уполномоченным государственным органом по таможенному делу по согласованию с Министерством экономического регулирования Кыргызской Республики, с учетом постоянно изменяющейся конъюнктуры мирового рынка и структуры импорта в Кыргызскую Республику и доводится до таможенных органов для повышения эффективности работы по контролю таможенной стоимости товаров, ввозимых на таможенную территорию Кыргызской Республики.</w:t>
      </w:r>
    </w:p>
    <w:p>
      <w:pPr>
        <w:spacing w:after="120"/>
        <w:ind w:firstLine="397"/>
        <w:jc w:val="both"/>
      </w:pPr>
      <w:r>
        <w:rPr>
          <w:rFonts w:ascii="Arial" w:cs="Arial" w:eastAsia="Arial" w:hAnsi="Arial"/>
          <w:sz w:val="24"/>
          <w:szCs w:val="24"/>
        </w:rPr>
        <w:t xml:space="preserve">Уполномоченный государственный орган по таможенному делу обязан в установленном порядке размещать ценовую информацию на официальном сайте.</w:t>
      </w:r>
    </w:p>
    <w:p>
      <w:pPr>
        <w:spacing w:after="240"/>
        <w:jc w:val="both"/>
      </w:pPr>
      <w:r>
        <w:rPr>
          <w:rFonts w:ascii="Arial" w:cs="Arial" w:eastAsia="Arial" w:hAnsi="Arial"/>
          <w:i/>
          <w:iCs/>
          <w:sz w:val="24"/>
          <w:szCs w:val="24"/>
        </w:rPr>
        <w:t xml:space="preserve">(В редакции </w:t>
      </w:r>
      <w:hyperlink w:history="1" r:id="rIdv4uucx1xndhfa0xfabwh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22 февраля 2011 года № 63)</w:t>
      </w:r>
    </w:p>
    <w:p>
      <w:pPr>
        <w:spacing w:after="120"/>
        <w:ind w:firstLine="397"/>
        <w:jc w:val="both"/>
      </w:pPr>
      <w:r>
        <w:rPr>
          <w:rFonts w:ascii="Arial" w:cs="Arial" w:eastAsia="Arial" w:hAnsi="Arial"/>
          <w:sz w:val="24"/>
          <w:szCs w:val="24"/>
        </w:rPr>
        <w:t xml:space="preserve">4. Ценовая информация, имеющаяся у таможенного органа, применяется им при отсутствии данных, подтверждающих правильность определения заявленной декларантом таможенной стоимости товара в соответствии со статьями 228-232 Таможенного кодекса Кыргызской Республики, либо при наличии оснований полагать, что представленные декларантом сведения не являются достоверными и (или) достаточными (статья 224 Таможенного </w:t>
      </w:r>
      <w:hyperlink w:history="1" r:id="rId4sh7chiuz33wk_bk10bz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Установление таможенным органом заявленной таможенной стоимости ниже ценовой информации, имеющейся у таможенного органа, является основанием для требования таможенным органом дополнительных сведений о стоимости товара и дальнейшей проверки их подлинности и достоверности для принятия решения таможенным органом.</w:t>
      </w:r>
    </w:p>
    <w:p>
      <w:pPr>
        <w:spacing w:after="120"/>
        <w:ind w:firstLine="397"/>
        <w:jc w:val="both"/>
      </w:pPr>
      <w:r>
        <w:rPr>
          <w:rFonts w:ascii="Arial" w:cs="Arial" w:eastAsia="Arial" w:hAnsi="Arial"/>
          <w:sz w:val="24"/>
          <w:szCs w:val="24"/>
        </w:rPr>
        <w:t xml:space="preserve">Заявление декларантом таможенной стоимости ниже ценовой информации, имеющейся у таможенного органа, не является основанием для отказа в принятии заявленной декларантом таможенной стоимости, при соблюдении требований к методу по цене сделки с ввозимыми товарами.</w:t>
      </w:r>
    </w:p>
    <w:p>
      <w:pPr>
        <w:spacing w:after="120"/>
        <w:ind w:firstLine="397"/>
        <w:jc w:val="both"/>
      </w:pPr>
      <w:r>
        <w:rPr>
          <w:rFonts w:ascii="Arial" w:cs="Arial" w:eastAsia="Arial" w:hAnsi="Arial"/>
          <w:sz w:val="24"/>
          <w:szCs w:val="24"/>
        </w:rPr>
        <w:t xml:space="preserve">5. Таможенная стоимость товаров заявляется (декларируется) декларантом таможенному органу при ввозе товаров в Кыргызскую Республику в соответствии со статьями 228-232 Таможенного кодекса Кыргызской Республики.</w:t>
      </w:r>
    </w:p>
    <w:p>
      <w:pPr>
        <w:spacing w:after="120"/>
        <w:ind w:firstLine="397"/>
        <w:jc w:val="both"/>
      </w:pPr>
      <w:r>
        <w:rPr>
          <w:rFonts w:ascii="Arial" w:cs="Arial" w:eastAsia="Arial" w:hAnsi="Arial"/>
          <w:sz w:val="24"/>
          <w:szCs w:val="24"/>
        </w:rPr>
        <w:t xml:space="preserve">Заявляемая декларантом таможенная стоимость товаров и представляемые им сведения, относящиеся к ее определению, должны основываться на достоверной, количественно определяемой и документально подтвержденной информации.</w:t>
      </w:r>
    </w:p>
    <w:p>
      <w:pPr>
        <w:spacing w:after="120"/>
        <w:ind w:firstLine="397"/>
        <w:jc w:val="both"/>
      </w:pPr>
      <w:r>
        <w:rPr>
          <w:rFonts w:ascii="Arial" w:cs="Arial" w:eastAsia="Arial" w:hAnsi="Arial"/>
          <w:sz w:val="24"/>
          <w:szCs w:val="24"/>
        </w:rPr>
        <w:t xml:space="preserve">6. Если заявленная декларантом таможенная стоимость товаров определена по цене сделки с ввозимыми товарами (метод 1) и в расчете на физический объем (единицу товара) ниже ценовой информации, имеющейся у таможенного органа, то декларант по требованию таможенного органа представляет следующие дополнительные документы:</w:t>
      </w:r>
    </w:p>
    <w:p>
      <w:pPr>
        <w:spacing w:after="120"/>
        <w:ind w:firstLine="397"/>
        <w:jc w:val="both"/>
      </w:pPr>
      <w:r>
        <w:rPr>
          <w:rFonts w:ascii="Arial" w:cs="Arial" w:eastAsia="Arial" w:hAnsi="Arial"/>
          <w:sz w:val="24"/>
          <w:szCs w:val="24"/>
        </w:rPr>
        <w:t xml:space="preserve">- контракты с третьими лицами, имеющими отношение к сделке;</w:t>
      </w:r>
    </w:p>
    <w:p>
      <w:pPr>
        <w:spacing w:after="120"/>
        <w:ind w:firstLine="397"/>
        <w:jc w:val="both"/>
      </w:pPr>
      <w:r>
        <w:rPr>
          <w:rFonts w:ascii="Arial" w:cs="Arial" w:eastAsia="Arial" w:hAnsi="Arial"/>
          <w:sz w:val="24"/>
          <w:szCs w:val="24"/>
        </w:rPr>
        <w:t xml:space="preserve">- счета за платежи третьим лицом в пользу продавца;</w:t>
      </w:r>
    </w:p>
    <w:p>
      <w:pPr>
        <w:spacing w:after="120"/>
        <w:ind w:firstLine="397"/>
        <w:jc w:val="both"/>
      </w:pPr>
      <w:r>
        <w:rPr>
          <w:rFonts w:ascii="Arial" w:cs="Arial" w:eastAsia="Arial" w:hAnsi="Arial"/>
          <w:sz w:val="24"/>
          <w:szCs w:val="24"/>
        </w:rPr>
        <w:t xml:space="preserve">- счета за комиссионные и брокерские услуги, имеющие отношение к сделке с оцениваемым товаром;</w:t>
      </w:r>
    </w:p>
    <w:p>
      <w:pPr>
        <w:spacing w:after="120"/>
        <w:ind w:firstLine="397"/>
        <w:jc w:val="both"/>
      </w:pPr>
      <w:r>
        <w:rPr>
          <w:rFonts w:ascii="Arial" w:cs="Arial" w:eastAsia="Arial" w:hAnsi="Arial"/>
          <w:sz w:val="24"/>
          <w:szCs w:val="24"/>
        </w:rPr>
        <w:t xml:space="preserve">- бухгалтерская документация, относящаяся к оцениваемому товару;</w:t>
      </w:r>
    </w:p>
    <w:p>
      <w:pPr>
        <w:spacing w:after="120"/>
        <w:ind w:firstLine="397"/>
        <w:jc w:val="both"/>
      </w:pPr>
      <w:r>
        <w:rPr>
          <w:rFonts w:ascii="Arial" w:cs="Arial" w:eastAsia="Arial" w:hAnsi="Arial"/>
          <w:sz w:val="24"/>
          <w:szCs w:val="24"/>
        </w:rPr>
        <w:t xml:space="preserve">- лицензионные или авторские соглашения;</w:t>
      </w:r>
    </w:p>
    <w:p>
      <w:pPr>
        <w:spacing w:after="120"/>
        <w:ind w:firstLine="397"/>
        <w:jc w:val="both"/>
      </w:pPr>
      <w:r>
        <w:rPr>
          <w:rFonts w:ascii="Arial" w:cs="Arial" w:eastAsia="Arial" w:hAnsi="Arial"/>
          <w:sz w:val="24"/>
          <w:szCs w:val="24"/>
        </w:rPr>
        <w:t xml:space="preserve">- складские квитанции;</w:t>
      </w:r>
    </w:p>
    <w:p>
      <w:pPr>
        <w:spacing w:after="120"/>
        <w:ind w:firstLine="397"/>
        <w:jc w:val="both"/>
      </w:pPr>
      <w:r>
        <w:rPr>
          <w:rFonts w:ascii="Arial" w:cs="Arial" w:eastAsia="Arial" w:hAnsi="Arial"/>
          <w:sz w:val="24"/>
          <w:szCs w:val="24"/>
        </w:rPr>
        <w:t xml:space="preserve">- заказы на поставку;</w:t>
      </w:r>
    </w:p>
    <w:p>
      <w:pPr>
        <w:spacing w:after="120"/>
        <w:ind w:firstLine="397"/>
        <w:jc w:val="both"/>
      </w:pPr>
      <w:r>
        <w:rPr>
          <w:rFonts w:ascii="Arial" w:cs="Arial" w:eastAsia="Arial" w:hAnsi="Arial"/>
          <w:sz w:val="24"/>
          <w:szCs w:val="24"/>
        </w:rPr>
        <w:t xml:space="preserve">- каталоги, спецификации, прейскуранты цен (прайс-листы) фирм-изготовителей;</w:t>
      </w:r>
    </w:p>
    <w:p>
      <w:pPr>
        <w:spacing w:after="120"/>
        <w:ind w:firstLine="397"/>
        <w:jc w:val="both"/>
      </w:pPr>
      <w:r>
        <w:rPr>
          <w:rFonts w:ascii="Arial" w:cs="Arial" w:eastAsia="Arial" w:hAnsi="Arial"/>
          <w:sz w:val="24"/>
          <w:szCs w:val="24"/>
        </w:rPr>
        <w:t xml:space="preserve">- калькуляция фирмы-изготовителя на оцениваемый товар (если фирма согласна ее предоставить кыргызскому покупателю);</w:t>
      </w:r>
    </w:p>
    <w:p>
      <w:pPr>
        <w:spacing w:after="120"/>
        <w:ind w:firstLine="397"/>
        <w:jc w:val="both"/>
      </w:pPr>
      <w:r>
        <w:rPr>
          <w:rFonts w:ascii="Arial" w:cs="Arial" w:eastAsia="Arial" w:hAnsi="Arial"/>
          <w:sz w:val="24"/>
          <w:szCs w:val="24"/>
        </w:rPr>
        <w:t xml:space="preserve">- таможенные декларации страны отправления (если они имеются);</w:t>
      </w:r>
    </w:p>
    <w:p>
      <w:pPr>
        <w:spacing w:after="120"/>
        <w:ind w:firstLine="397"/>
        <w:jc w:val="both"/>
      </w:pPr>
      <w:r>
        <w:rPr>
          <w:rFonts w:ascii="Arial" w:cs="Arial" w:eastAsia="Arial" w:hAnsi="Arial"/>
          <w:sz w:val="24"/>
          <w:szCs w:val="24"/>
        </w:rPr>
        <w:t xml:space="preserve">- документы, которые могут быть использованы для подтверждения сведений (данные о стоимости товара, заявленные экспортером в соответствии с законодательством страны вывоза таможенным или иным государственным органом этой страны), экспортная лицензия (в случаях лицензирования экспорта товара в стране вывоза) или иные документы, имеющие отношение к стоимости товара (далее - документы о стоимости товара в стране вывоза).</w:t>
      </w:r>
    </w:p>
    <w:p>
      <w:pPr>
        <w:spacing w:after="120"/>
        <w:ind w:firstLine="397"/>
        <w:jc w:val="both"/>
      </w:pPr>
      <w:r>
        <w:rPr>
          <w:rFonts w:ascii="Arial" w:cs="Arial" w:eastAsia="Arial" w:hAnsi="Arial"/>
          <w:sz w:val="24"/>
          <w:szCs w:val="24"/>
        </w:rPr>
        <w:t xml:space="preserve">При рассмотрении документов, предъявленных в подтверждение, что таможенная стоимость ниже ценовой информации, имеющейся у таможенного органа, необходимо проверить соответствие взаимосвязанных показателей различных документов.</w:t>
      </w:r>
    </w:p>
    <w:p>
      <w:pPr>
        <w:spacing w:after="120"/>
        <w:ind w:firstLine="397"/>
        <w:jc w:val="both"/>
      </w:pPr>
      <w:r>
        <w:rPr>
          <w:rFonts w:ascii="Arial" w:cs="Arial" w:eastAsia="Arial" w:hAnsi="Arial"/>
          <w:sz w:val="24"/>
          <w:szCs w:val="24"/>
        </w:rPr>
        <w:t xml:space="preserve">7. Документы, используемые в качестве подтверждения таможенной стоимости, должны содержать:</w:t>
      </w:r>
    </w:p>
    <w:p>
      <w:pPr>
        <w:spacing w:after="120"/>
        <w:ind w:firstLine="397"/>
        <w:jc w:val="both"/>
      </w:pPr>
      <w:r>
        <w:rPr>
          <w:rFonts w:ascii="Arial" w:cs="Arial" w:eastAsia="Arial" w:hAnsi="Arial"/>
          <w:sz w:val="24"/>
          <w:szCs w:val="24"/>
        </w:rPr>
        <w:t xml:space="preserve">- подробные реквизиты продавца и покупателя;</w:t>
      </w:r>
    </w:p>
    <w:p>
      <w:pPr>
        <w:spacing w:after="120"/>
        <w:ind w:firstLine="397"/>
        <w:jc w:val="both"/>
      </w:pPr>
      <w:r>
        <w:rPr>
          <w:rFonts w:ascii="Arial" w:cs="Arial" w:eastAsia="Arial" w:hAnsi="Arial"/>
          <w:sz w:val="24"/>
          <w:szCs w:val="24"/>
        </w:rPr>
        <w:t xml:space="preserve">- условия поставки;</w:t>
      </w:r>
    </w:p>
    <w:p>
      <w:pPr>
        <w:spacing w:after="120"/>
        <w:ind w:firstLine="397"/>
        <w:jc w:val="both"/>
      </w:pPr>
      <w:r>
        <w:rPr>
          <w:rFonts w:ascii="Arial" w:cs="Arial" w:eastAsia="Arial" w:hAnsi="Arial"/>
          <w:sz w:val="24"/>
          <w:szCs w:val="24"/>
        </w:rPr>
        <w:t xml:space="preserve">- перечень товаров с указанием по каждому из них цены за единицу товара и общей стоимости товара;</w:t>
      </w:r>
    </w:p>
    <w:p>
      <w:pPr>
        <w:spacing w:after="120"/>
        <w:ind w:firstLine="397"/>
        <w:jc w:val="both"/>
      </w:pPr>
      <w:r>
        <w:rPr>
          <w:rFonts w:ascii="Arial" w:cs="Arial" w:eastAsia="Arial" w:hAnsi="Arial"/>
          <w:sz w:val="24"/>
          <w:szCs w:val="24"/>
        </w:rPr>
        <w:t xml:space="preserve">- необходимые подписи и печати;</w:t>
      </w:r>
    </w:p>
    <w:p>
      <w:pPr>
        <w:spacing w:after="120"/>
        <w:ind w:firstLine="397"/>
        <w:jc w:val="both"/>
      </w:pPr>
      <w:r>
        <w:rPr>
          <w:rFonts w:ascii="Arial" w:cs="Arial" w:eastAsia="Arial" w:hAnsi="Arial"/>
          <w:sz w:val="24"/>
          <w:szCs w:val="24"/>
        </w:rPr>
        <w:t xml:space="preserve">- реквизиты контракта, к которому они относятся;</w:t>
      </w:r>
    </w:p>
    <w:p>
      <w:pPr>
        <w:spacing w:after="120"/>
        <w:ind w:firstLine="397"/>
        <w:jc w:val="both"/>
      </w:pPr>
      <w:r>
        <w:rPr>
          <w:rFonts w:ascii="Arial" w:cs="Arial" w:eastAsia="Arial" w:hAnsi="Arial"/>
          <w:sz w:val="24"/>
          <w:szCs w:val="24"/>
        </w:rPr>
        <w:t xml:space="preserve">- при наличии скидок по условиям контракта скидки должны быть указаны в контракте и в счете-фактуре, с указанием условий их предоставления, при этом скидки принимаются для целей контроля таможенной стоимости в разумных пределах (но не более 20 процентов от цен, установленных в прейскуранте цен (прайс-листе) для независимых покупателей.</w:t>
      </w:r>
    </w:p>
    <w:p>
      <w:pPr>
        <w:spacing w:after="120"/>
        <w:ind w:firstLine="397"/>
        <w:jc w:val="both"/>
      </w:pPr>
      <w:r>
        <w:rPr>
          <w:rFonts w:ascii="Arial" w:cs="Arial" w:eastAsia="Arial" w:hAnsi="Arial"/>
          <w:sz w:val="24"/>
          <w:szCs w:val="24"/>
        </w:rPr>
        <w:t xml:space="preserve">Кроме этого в контракте и (или) в приложениях к нему, являющихся его неотъемлемой частью, также должны иметься данные:</w:t>
      </w:r>
    </w:p>
    <w:p>
      <w:pPr>
        <w:spacing w:after="120"/>
        <w:ind w:firstLine="397"/>
        <w:jc w:val="both"/>
      </w:pPr>
      <w:r>
        <w:rPr>
          <w:rFonts w:ascii="Arial" w:cs="Arial" w:eastAsia="Arial" w:hAnsi="Arial"/>
          <w:sz w:val="24"/>
          <w:szCs w:val="24"/>
        </w:rPr>
        <w:t xml:space="preserve">а) о характере сделки (т.е., является ли рассматриваемая сделка сделкой купли-продажи, консигнационным соглашением (товарным кредитом), договором комиссии, аренды и т.п.);</w:t>
      </w:r>
    </w:p>
    <w:p>
      <w:pPr>
        <w:spacing w:after="120"/>
        <w:ind w:firstLine="397"/>
        <w:jc w:val="both"/>
      </w:pPr>
      <w:r>
        <w:rPr>
          <w:rFonts w:ascii="Arial" w:cs="Arial" w:eastAsia="Arial" w:hAnsi="Arial"/>
          <w:sz w:val="24"/>
          <w:szCs w:val="24"/>
        </w:rPr>
        <w:t xml:space="preserve">б) об условиях поставки товара;</w:t>
      </w:r>
    </w:p>
    <w:p>
      <w:pPr>
        <w:spacing w:after="120"/>
        <w:ind w:firstLine="397"/>
        <w:jc w:val="both"/>
      </w:pPr>
      <w:r>
        <w:rPr>
          <w:rFonts w:ascii="Arial" w:cs="Arial" w:eastAsia="Arial" w:hAnsi="Arial"/>
          <w:sz w:val="24"/>
          <w:szCs w:val="24"/>
        </w:rPr>
        <w:t xml:space="preserve">в) о перечне ввозимых товаров на ассортиментном уровне;</w:t>
      </w:r>
    </w:p>
    <w:p>
      <w:pPr>
        <w:spacing w:after="120"/>
        <w:ind w:firstLine="397"/>
        <w:jc w:val="both"/>
      </w:pPr>
      <w:r>
        <w:rPr>
          <w:rFonts w:ascii="Arial" w:cs="Arial" w:eastAsia="Arial" w:hAnsi="Arial"/>
          <w:sz w:val="24"/>
          <w:szCs w:val="24"/>
        </w:rPr>
        <w:t xml:space="preserve">г) об объеме (количестве) ввозимого товара;</w:t>
      </w:r>
    </w:p>
    <w:p>
      <w:pPr>
        <w:spacing w:after="120"/>
        <w:ind w:firstLine="397"/>
        <w:jc w:val="both"/>
      </w:pPr>
      <w:r>
        <w:rPr>
          <w:rFonts w:ascii="Arial" w:cs="Arial" w:eastAsia="Arial" w:hAnsi="Arial"/>
          <w:sz w:val="24"/>
          <w:szCs w:val="24"/>
        </w:rPr>
        <w:t xml:space="preserve">д) о цене за единицу товара (в валюте контракта) и общей сумме контракта;</w:t>
      </w:r>
    </w:p>
    <w:p>
      <w:pPr>
        <w:spacing w:after="120"/>
        <w:ind w:firstLine="397"/>
        <w:jc w:val="both"/>
      </w:pPr>
      <w:r>
        <w:rPr>
          <w:rFonts w:ascii="Arial" w:cs="Arial" w:eastAsia="Arial" w:hAnsi="Arial"/>
          <w:sz w:val="24"/>
          <w:szCs w:val="24"/>
        </w:rPr>
        <w:t xml:space="preserve">е) о требованиях к его качеству;</w:t>
      </w:r>
    </w:p>
    <w:p>
      <w:pPr>
        <w:spacing w:after="120"/>
        <w:ind w:firstLine="397"/>
        <w:jc w:val="both"/>
      </w:pPr>
      <w:r>
        <w:rPr>
          <w:rFonts w:ascii="Arial" w:cs="Arial" w:eastAsia="Arial" w:hAnsi="Arial"/>
          <w:sz w:val="24"/>
          <w:szCs w:val="24"/>
        </w:rPr>
        <w:t xml:space="preserve">ж) об установленном порядке предъявления претензий в связи с фактическим несоответствием количества и качества товара условиям контракта;</w:t>
      </w:r>
    </w:p>
    <w:p>
      <w:pPr>
        <w:spacing w:after="120"/>
        <w:ind w:firstLine="397"/>
        <w:jc w:val="both"/>
      </w:pPr>
      <w:r>
        <w:rPr>
          <w:rFonts w:ascii="Arial" w:cs="Arial" w:eastAsia="Arial" w:hAnsi="Arial"/>
          <w:sz w:val="24"/>
          <w:szCs w:val="24"/>
        </w:rPr>
        <w:t xml:space="preserve">з) о порядке и месте разрешения разногласий между продавцом и покупателем (арбитражные условия);</w:t>
      </w:r>
    </w:p>
    <w:p>
      <w:pPr>
        <w:spacing w:after="120"/>
        <w:ind w:firstLine="397"/>
        <w:jc w:val="both"/>
      </w:pPr>
      <w:r>
        <w:rPr>
          <w:rFonts w:ascii="Arial" w:cs="Arial" w:eastAsia="Arial" w:hAnsi="Arial"/>
          <w:sz w:val="24"/>
          <w:szCs w:val="24"/>
        </w:rPr>
        <w:t xml:space="preserve">и) об условиях и сроках платежа за ввозимый (оцениваемый) товар.</w:t>
      </w:r>
    </w:p>
    <w:p>
      <w:pPr>
        <w:spacing w:after="120"/>
        <w:ind w:firstLine="397"/>
        <w:jc w:val="both"/>
      </w:pPr>
      <w:r>
        <w:rPr>
          <w:rFonts w:ascii="Arial" w:cs="Arial" w:eastAsia="Arial" w:hAnsi="Arial"/>
          <w:sz w:val="24"/>
          <w:szCs w:val="24"/>
        </w:rPr>
        <w:t xml:space="preserve">8. Если в результате сопоставления и анализа всех документов по внешнеторговой сделке, представленных декларантом для таможенного оформления и подтверждения заявляемой таможенной стоимости ввозимого товара, не выявлено ограничений для заявленной таможенной стоимости на основе метода по цене сделки с ввозимыми товарами и соблюдены требования к применению данного метода, но при этом заявленная таможенная стоимость ниже ценовой информации, имеющейся у таможенного органа, то таможенный орган направляет в уполномоченный государственный орган по таможенному делу рапорт(*) за подписью начальника таможни и представленные декларантом документы о стоимости товара, а также копии всех товаросопроводительных документов вместе с переводом на государственном или официальном языке.</w:t>
      </w:r>
    </w:p>
    <w:p>
      <w:pPr>
        <w:spacing w:after="120"/>
        <w:ind w:firstLine="397"/>
        <w:jc w:val="both"/>
      </w:pPr>
      <w:r>
        <w:rPr>
          <w:rFonts w:ascii="Arial" w:cs="Arial" w:eastAsia="Arial" w:hAnsi="Arial"/>
          <w:sz w:val="24"/>
          <w:szCs w:val="24"/>
        </w:rPr>
        <w:t xml:space="preserve">(*) - Рапорт по контролю таможенной стоимости готовится в произвольной форме с обязательным указанием представленных документов и произведенной проверке представленных документов, расчетами таможенной стоимости ввозимого товара. Кроме этого обязательно представляется документ о помещении товара на склад временного хранения (терминал) или грузовую таможенную декларацию с условным выпуском товара.</w:t>
      </w:r>
    </w:p>
    <w:p>
      <w:pPr>
        <w:spacing w:after="120"/>
        <w:ind w:firstLine="397"/>
        <w:jc w:val="both"/>
      </w:pPr>
      <w:r>
        <w:rPr>
          <w:rFonts w:ascii="Arial" w:cs="Arial" w:eastAsia="Arial" w:hAnsi="Arial"/>
          <w:sz w:val="24"/>
          <w:szCs w:val="24"/>
        </w:rPr>
        <w:t xml:space="preserve">9. Таможенный орган вправе до уточнения таможенной стоимости, заявленной ниже ценовой информации по письменному заявлению декларанта, предоставить товар в пользование декларанта при условии обеспечения уплаты суммы таможенных платежей, исчисленных исходя из временной (условной) оценки товаров.</w:t>
      </w:r>
    </w:p>
    <w:p>
      <w:pPr>
        <w:spacing w:after="120"/>
        <w:ind w:firstLine="397"/>
        <w:jc w:val="both"/>
      </w:pPr>
      <w:r>
        <w:rPr>
          <w:rFonts w:ascii="Arial" w:cs="Arial" w:eastAsia="Arial" w:hAnsi="Arial"/>
          <w:sz w:val="24"/>
          <w:szCs w:val="24"/>
        </w:rPr>
        <w:t xml:space="preserve">Товар выпускается с временным (условным) определением его таможенной стоимости от ценовой информации и процедура установления окончательной величины таможенной стоимости переносится на период до 45 дней после выпуска товара с уплатой причитающихся таможенных платежей. При необходимости период может быть увеличен. При этом в графе Д "Таможенный контроль" грузовой таможенной декларации (далее - ГТД) таможенным органом ставится штамп "Условный выпуск".</w:t>
      </w:r>
    </w:p>
    <w:p>
      <w:pPr>
        <w:spacing w:after="120"/>
        <w:ind w:firstLine="397"/>
        <w:jc w:val="both"/>
      </w:pPr>
      <w:r>
        <w:rPr>
          <w:rFonts w:ascii="Arial" w:cs="Arial" w:eastAsia="Arial" w:hAnsi="Arial"/>
          <w:sz w:val="24"/>
          <w:szCs w:val="24"/>
        </w:rPr>
        <w:t xml:space="preserve">Таможенный орган в отношении постоянных участников внешнеэкономической деятельности, соблюдающих таможенное законодательство и правила декларирования таможенной стоимости, не числящихся в картотеке таможенного органа в числе нарушителей таможенного законодательства, вправе произвести условную (временную) оценку на базе заявленной декларантом таможенной стоимости.</w:t>
      </w:r>
    </w:p>
    <w:p>
      <w:pPr>
        <w:spacing w:after="120"/>
        <w:ind w:firstLine="397"/>
        <w:jc w:val="both"/>
      </w:pPr>
      <w:r>
        <w:rPr>
          <w:rFonts w:ascii="Arial" w:cs="Arial" w:eastAsia="Arial" w:hAnsi="Arial"/>
          <w:sz w:val="24"/>
          <w:szCs w:val="24"/>
        </w:rPr>
        <w:t xml:space="preserve">При принятии решения об условном выпуске таможенный орган обязательно размещает на депозите разницу таможенных платежей исчисленных от заявленной таможенной стоимости и ценовой информацией.</w:t>
      </w:r>
    </w:p>
    <w:p>
      <w:pPr>
        <w:spacing w:after="120"/>
        <w:ind w:firstLine="397"/>
        <w:jc w:val="both"/>
      </w:pPr>
      <w:r>
        <w:rPr>
          <w:rFonts w:ascii="Arial" w:cs="Arial" w:eastAsia="Arial" w:hAnsi="Arial"/>
          <w:sz w:val="24"/>
          <w:szCs w:val="24"/>
        </w:rPr>
        <w:t xml:space="preserve">При этом в графе Д "Таможенный контроль" ГТД сотрудником таможенного органа делается письменно запись "условный выпуск от ценовой информации" либо "условный выпуск от заявленной стоимости" затем окантовывается, что является штампом "Условный выпуск", и заверяется ЛНП (личной номерной печатью).</w:t>
      </w:r>
    </w:p>
    <w:p>
      <w:pPr>
        <w:spacing w:after="120"/>
        <w:ind w:firstLine="397"/>
        <w:jc w:val="both"/>
      </w:pPr>
      <w:r>
        <w:rPr>
          <w:rFonts w:ascii="Arial" w:cs="Arial" w:eastAsia="Arial" w:hAnsi="Arial"/>
          <w:sz w:val="24"/>
          <w:szCs w:val="24"/>
        </w:rPr>
        <w:t xml:space="preserve">При этом пользование условно выпущенными товарами допускается в соответствии с заявленным таможенным режимом.</w:t>
      </w:r>
    </w:p>
    <w:p>
      <w:pPr>
        <w:spacing w:after="120"/>
        <w:ind w:firstLine="397"/>
        <w:jc w:val="both"/>
      </w:pPr>
      <w:r>
        <w:rPr>
          <w:rFonts w:ascii="Arial" w:cs="Arial" w:eastAsia="Arial" w:hAnsi="Arial"/>
          <w:sz w:val="24"/>
          <w:szCs w:val="24"/>
        </w:rPr>
        <w:t xml:space="preserve">Решение об условном выпуске товара на базе заявленной таможенной стоимости принимается уполномоченным государственным органом по таможенному делу.</w:t>
      </w:r>
    </w:p>
    <w:p>
      <w:pPr>
        <w:spacing w:after="120"/>
        <w:ind w:firstLine="397"/>
        <w:jc w:val="both"/>
      </w:pPr>
      <w:r>
        <w:rPr>
          <w:rFonts w:ascii="Arial" w:cs="Arial" w:eastAsia="Arial" w:hAnsi="Arial"/>
          <w:sz w:val="24"/>
          <w:szCs w:val="24"/>
        </w:rPr>
        <w:t xml:space="preserve">10. Уполномоченный государственный орган по таможенному делу рассматривает рапорт и документы о подлинности и достоверности заявленной таможенной стоимости товара, направляемые согласно пункту 8 настоящего Порядка. О результатах рассмотрения уполномоченный государственный орган по таможенному делу информирует таможенный орган.</w:t>
      </w:r>
    </w:p>
    <w:p>
      <w:pPr>
        <w:spacing w:after="120"/>
        <w:ind w:firstLine="397"/>
        <w:jc w:val="both"/>
      </w:pPr>
      <w:r>
        <w:rPr>
          <w:rFonts w:ascii="Arial" w:cs="Arial" w:eastAsia="Arial" w:hAnsi="Arial"/>
          <w:sz w:val="24"/>
          <w:szCs w:val="24"/>
        </w:rPr>
        <w:t xml:space="preserve">Для подтверждения подлинности и достоверности документов о стоимости товаров в стране вывоза уполномоченный государственный орган по таможенному делу при необходимости направляет в таможенные или другие органы стран вывоза товаров соответствующие запросы. После получения ответов на вышеуказанные запросы уполномоченный государственный орган по таможенному делу направляет соответствующую информацию в таможенный орган.</w:t>
      </w:r>
    </w:p>
    <w:p>
      <w:pPr>
        <w:spacing w:after="120"/>
        <w:ind w:firstLine="397"/>
        <w:jc w:val="both"/>
      </w:pPr>
      <w:r>
        <w:rPr>
          <w:rFonts w:ascii="Arial" w:cs="Arial" w:eastAsia="Arial" w:hAnsi="Arial"/>
          <w:sz w:val="24"/>
          <w:szCs w:val="24"/>
        </w:rPr>
        <w:t xml:space="preserve">11. При получении информации от уполномоченного государственного органа по таможенному делу таможенный орган принимает решение относительно заявленной таможенной стоимости в установленном порядке.</w:t>
      </w:r>
    </w:p>
    <w:p>
      <w:pPr>
        <w:spacing w:after="120"/>
        <w:ind w:firstLine="397"/>
        <w:jc w:val="both"/>
      </w:pPr>
      <w:r>
        <w:rPr>
          <w:rFonts w:ascii="Arial" w:cs="Arial" w:eastAsia="Arial" w:hAnsi="Arial"/>
          <w:sz w:val="24"/>
          <w:szCs w:val="24"/>
        </w:rPr>
        <w:t xml:space="preserve">12. В случае несогласия с решением таможенного органа декларант может обжаловать решение в соответствии с разделом XIV Таможенного кодекса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urjrxo98i2ukagj8dsai">
      <w:r>
        <w:rPr>
          <w:rFonts w:ascii="Arial" w:cs="Arial" w:eastAsia="Arial" w:hAnsi="Arial"/>
          <w:color w:val="132D3F"/>
          <w:sz w:val="16"/>
          <w:szCs w:val="16"/>
          <w:u w:val="single"/>
        </w:rPr>
        <w:t xml:space="preserve">dalil.kg/document/56220</w:t>
      </w:r>
    </w:hyperlink>
  </w:p>
  <w:p>
    <w:pPr>
      <w:spacing w:after="0" w:before="40"/>
      <w:jc w:val="center"/>
    </w:pPr>
    <w:hyperlink w:history="1" r:id="rIddv-dau8qaqkv0zup0j42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p4rfp5ioffyyjoczv7lb" Type="http://schemas.openxmlformats.org/officeDocument/2006/relationships/hyperlink" Target="https://dalil.kg/document/99065" TargetMode="External"/><Relationship Id="rIdw-khj5hf1jydoouypsgbs" Type="http://schemas.openxmlformats.org/officeDocument/2006/relationships/hyperlink" Target="https://dalil.kg/document/1587" TargetMode="External"/><Relationship Id="rIdgq7d-u4wwt8v_pe2pzl4c" Type="http://schemas.openxmlformats.org/officeDocument/2006/relationships/hyperlink" Target="https://dalil.kg/document/56220#p1" TargetMode="External"/><Relationship Id="rIdeb8urjfog4uw-guhvkh3q" Type="http://schemas.openxmlformats.org/officeDocument/2006/relationships/hyperlink" Target="https://dalil.kg/document/56220#p2" TargetMode="External"/><Relationship Id="rIdro6ifluxu6jmhlvk7xith" Type="http://schemas.openxmlformats.org/officeDocument/2006/relationships/hyperlink" Target="https://dalil.kg/document/56220#p3" TargetMode="External"/><Relationship Id="rIduwmokdn3fq16yd1ba0m96" Type="http://schemas.openxmlformats.org/officeDocument/2006/relationships/hyperlink" Target="https://dalil.kg/document/56220" TargetMode="External"/><Relationship Id="rIdhoqy69l-kklnz4ogzspqx" Type="http://schemas.openxmlformats.org/officeDocument/2006/relationships/hyperlink" Target="https://dalil.kg/document/92472" TargetMode="External"/><Relationship Id="rIdgmugjwzwqx3jdik4lmfqg" Type="http://schemas.openxmlformats.org/officeDocument/2006/relationships/hyperlink" Target="https://dalil.kg/document/96981" TargetMode="External"/><Relationship Id="rIdk9ew-c4fmohayyp3ornfj" Type="http://schemas.openxmlformats.org/officeDocument/2006/relationships/hyperlink" Target="https://dalil.kg/document/92472" TargetMode="External"/><Relationship Id="rIdxd71l603mmhzcjp43loor" Type="http://schemas.openxmlformats.org/officeDocument/2006/relationships/hyperlink" Target="https://dalil.kg/document/92742" TargetMode="External"/><Relationship Id="rIdurathwp-nfzovs5fruiuy" Type="http://schemas.openxmlformats.org/officeDocument/2006/relationships/hyperlink" Target="https://dalil.kg/document/92472" TargetMode="External"/><Relationship Id="rIdcxsvdj5wjzfbxi2kzc--5" Type="http://schemas.openxmlformats.org/officeDocument/2006/relationships/hyperlink" Target="https://dalil.kg/document/96981" TargetMode="External"/><Relationship Id="rIdj5c9jmepaneyxr20h6b77" Type="http://schemas.openxmlformats.org/officeDocument/2006/relationships/hyperlink" Target="https://dalil.kg/document/92472" TargetMode="External"/><Relationship Id="rIdqq2gwts2zixqocusltvhz" Type="http://schemas.openxmlformats.org/officeDocument/2006/relationships/hyperlink" Target="https://dalil.kg/document/92472" TargetMode="External"/><Relationship Id="rIdz0dzrw4cxwfy5ibdtvpzz" Type="http://schemas.openxmlformats.org/officeDocument/2006/relationships/hyperlink" Target="https://dalil.kg/document/56220" TargetMode="External"/><Relationship Id="rIdyu6o9-bx12-ov953jjw3g" Type="http://schemas.openxmlformats.org/officeDocument/2006/relationships/hyperlink" Target="https://dalil.kg/document/1587" TargetMode="External"/><Relationship Id="rIdtrdsidfgx2df9vs5vfsro" Type="http://schemas.openxmlformats.org/officeDocument/2006/relationships/hyperlink" Target="https://dalil.kg/document/56220" TargetMode="External"/><Relationship Id="rIdq4xy39vbzby2di_ds3p5q" Type="http://schemas.openxmlformats.org/officeDocument/2006/relationships/hyperlink" Target="https://dalil.kg/document/92472" TargetMode="External"/><Relationship Id="rIdv4uucx1xndhfa0xfabwha" Type="http://schemas.openxmlformats.org/officeDocument/2006/relationships/hyperlink" Target="https://dalil.kg/document/92472" TargetMode="External"/><Relationship Id="rId4sh7chiuz33wk_bk10bzk" Type="http://schemas.openxmlformats.org/officeDocument/2006/relationships/hyperlink" Target="https://dalil.kg/document/1587"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urjrxo98i2ukagj8dsai" Type="http://schemas.openxmlformats.org/officeDocument/2006/relationships/hyperlink" Target="https://dalil.kg/document/56220" TargetMode="External"/><Relationship Id="rIddv-dau8qaqkv0zup0j42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2026-09-23T18:46:54.110Z</dcterms:created>
  <dcterms:modified xsi:type="dcterms:W3CDTF">2026-09-23T18:46:54.110Z</dcterms:modified>
</cp:coreProperties>
</file>

<file path=docProps/custom.xml><?xml version="1.0" encoding="utf-8"?>
<Properties xmlns="http://schemas.openxmlformats.org/officeDocument/2006/custom-properties" xmlns:vt="http://schemas.openxmlformats.org/officeDocument/2006/docPropsVTypes"/>
</file>