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bwzcsmhhluexhxjec3-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w:t>
      </w:r>
    </w:p>
    <w:p>
      <w:pPr>
        <w:spacing w:after="120"/>
        <w:jc w:val="both"/>
      </w:pPr>
      <w:r>
        <w:rPr>
          <w:rFonts w:ascii="Arial" w:cs="Arial" w:eastAsia="Arial" w:hAnsi="Arial"/>
          <w:sz w:val="24"/>
          <w:szCs w:val="24"/>
        </w:rPr>
        <w:t xml:space="preserve">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ноября 2005 года № 511</w:t>
      </w:r>
    </w:p>
    <w:p>
      <w:pPr>
        <w:spacing w:after="120"/>
        <w:jc w:val="both"/>
      </w:pPr>
      <w:r>
        <w:rPr>
          <w:rFonts w:ascii="Arial" w:cs="Arial" w:eastAsia="Arial" w:hAnsi="Arial"/>
          <w:sz w:val="24"/>
          <w:szCs w:val="24"/>
        </w:rPr>
        <w:t xml:space="preserve">О дополнительных мерах по усилению борьбы с контрабандой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xznf3djiio3sbsd9mrxqc">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x3lr8mpdsjpymx3hzzgqr">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zcry1f28fyf6tdjc8tpuv">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gvlmubqxuuofatdzwemxt">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mpyapqbu4ixfta4vkx1qy">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проводится определенная работа по борьбе с контрабандой.</w:t>
      </w:r>
    </w:p>
    <w:p>
      <w:pPr>
        <w:spacing w:after="120"/>
        <w:jc w:val="both"/>
      </w:pPr>
      <w:r>
        <w:rPr>
          <w:rFonts w:ascii="Arial" w:cs="Arial" w:eastAsia="Arial" w:hAnsi="Arial"/>
          <w:sz w:val="24"/>
          <w:szCs w:val="24"/>
        </w:rPr>
        <w:t xml:space="preserve">Правительством Кыргызской Республики принят ряд постановлений по усилению контроля за незаконным ввозом и вывозом товаров, вещей и иных предметов, борьбе с контрабандой табачных изделий, алкогольной продукции, горюче-смазочных материалов и других видов высоколиквидных товаров. Совершенствуется нормативно-правовая база, регулирующая внешнеэкономическую деятельность, борьбу с контрабандой, незаконным производством и реализацией товаров и продукции. Принимаются меры по наращиванию производственных мощностей предприятий, производящих товары массового спроса, увеличению объема выпуска спирта и алкогольных напитков, табачных изделий, горюче-смазочных материалов, отвечающих по качеству мировым стандартам.</w:t>
      </w:r>
    </w:p>
    <w:p>
      <w:pPr>
        <w:spacing w:after="120"/>
        <w:jc w:val="both"/>
      </w:pPr>
      <w:r>
        <w:rPr>
          <w:rFonts w:ascii="Arial" w:cs="Arial" w:eastAsia="Arial" w:hAnsi="Arial"/>
          <w:sz w:val="24"/>
          <w:szCs w:val="24"/>
        </w:rPr>
        <w:t xml:space="preserve">Создан Штаб с региональными подразделениями из числа должностных лиц соответствующих государственных органов, государственных администраций областей в целях проведения анализа оперативной обстановки в сфере незаконного оборота подакцизной продукции, выявления каналов контрабандного ввоза, мест их хранения и реализации.</w:t>
      </w:r>
    </w:p>
    <w:p>
      <w:pPr>
        <w:spacing w:after="120"/>
        <w:jc w:val="both"/>
      </w:pPr>
      <w:r>
        <w:rPr>
          <w:rFonts w:ascii="Arial" w:cs="Arial" w:eastAsia="Arial" w:hAnsi="Arial"/>
          <w:sz w:val="24"/>
          <w:szCs w:val="24"/>
        </w:rPr>
        <w:t xml:space="preserve">Вместе с тем, объем контрабанды отдельных видов подакцизных товаров и продукции повышенного спроса, их подпольное производство и незаконная реализация имеют массовый характер и занимают значительную долю товарооборота на внутреннем рынке. При этом, официальные данные об объеме контрабанды в 2-3 раза ниже данных, получаемых независимыми экспертами.</w:t>
      </w:r>
    </w:p>
    <w:p>
      <w:pPr>
        <w:spacing w:after="120"/>
        <w:jc w:val="both"/>
      </w:pPr>
      <w:r>
        <w:rPr>
          <w:rFonts w:ascii="Arial" w:cs="Arial" w:eastAsia="Arial" w:hAnsi="Arial"/>
          <w:sz w:val="24"/>
          <w:szCs w:val="24"/>
        </w:rPr>
        <w:t xml:space="preserve">Так, изучение рынка алкогольной продукции показывает, что объем теневого оборота ликероводочных изделий в 2004 году, по расчетным данным, составил около 800,0 тыс. дал. Расчеты, произведенные с учетом объема производства и реализации последних 10 лет, свидетельствуют, что объем контрабанды и теневого оборота всех видов алкогольных напитков может составить порядка 1200,0 тыс. дал. О больших объемах контрабанды и подпольного производства спиртных напитков свидетельствует и то, что в 2004 году правоохранительными и контролирующими органами выявлено 2034 факта нелегального хранения и реализации спирта и алкогольных напитков, у нарушителей изъято 6,76 тонны спирта, 4823,7 дал спиртных напитков.</w:t>
      </w:r>
    </w:p>
    <w:p>
      <w:pPr>
        <w:spacing w:after="120"/>
        <w:jc w:val="both"/>
      </w:pPr>
      <w:r>
        <w:rPr>
          <w:rFonts w:ascii="Arial" w:cs="Arial" w:eastAsia="Arial" w:hAnsi="Arial"/>
          <w:sz w:val="24"/>
          <w:szCs w:val="24"/>
        </w:rPr>
        <w:t xml:space="preserve">Такая же ситуация наблюдается и на рынке горюче-смазочных материалов. По данным ассоциации нефтетрейдеров, в 2005 году оценочный объем контрабандного ввоза бензина и дизельного топлива составил 35-40 тыс. тонн и 60-70 тыс. тонн соответственно.</w:t>
      </w:r>
    </w:p>
    <w:p>
      <w:pPr>
        <w:spacing w:after="120"/>
        <w:jc w:val="both"/>
      </w:pPr>
      <w:r>
        <w:rPr>
          <w:rFonts w:ascii="Arial" w:cs="Arial" w:eastAsia="Arial" w:hAnsi="Arial"/>
          <w:sz w:val="24"/>
          <w:szCs w:val="24"/>
        </w:rPr>
        <w:t xml:space="preserve">Крайне напряженное положение сложилось на рынке табачных изделий. Расчет годового потребления табачных изделий в республике, проведенный на основе среднегодовой потребности за предыдущие годы, по оценкам экспертов, составляет около 5,5 млрд. штук в год, или 275 млн. пачек. Расчетные данные и изучение внутреннего рынка показывают, что ежегодно нелегальный ввоз сигарет составляет ориентировочно 0,9 млрд. штук.</w:t>
      </w:r>
    </w:p>
    <w:p>
      <w:pPr>
        <w:spacing w:after="120"/>
        <w:jc w:val="both"/>
      </w:pPr>
      <w:r>
        <w:rPr>
          <w:rFonts w:ascii="Arial" w:cs="Arial" w:eastAsia="Arial" w:hAnsi="Arial"/>
          <w:sz w:val="24"/>
          <w:szCs w:val="24"/>
        </w:rPr>
        <w:t xml:space="preserve">Изучение внутреннего рынка свидетельствует, что в незаконном обороте находится значительный объем контрабандно ввозимых пива, чая, кофе, соков и прохладительных напитков, мыло-моющих средств и других товаров нередко сомнительного качества.</w:t>
      </w:r>
    </w:p>
    <w:p>
      <w:pPr>
        <w:spacing w:after="120"/>
        <w:jc w:val="both"/>
      </w:pPr>
      <w:r>
        <w:rPr>
          <w:rFonts w:ascii="Arial" w:cs="Arial" w:eastAsia="Arial" w:hAnsi="Arial"/>
          <w:sz w:val="24"/>
          <w:szCs w:val="24"/>
        </w:rPr>
        <w:t xml:space="preserve">Как показывает анализ, потребность республики в пиве, с учетом данных за последние 10 лет, составила около 3900,0 тыс. дал в год. Производство пива в 2004 году составило 1160,1 тыс. дал, импортировано всеми хозяйствующими субъектами 2410,5 тыс. дал. По данным Национального статистического комитета Кыргызской Республики, потребление пива в 2004 году составило 4008 тыс. дал. Объем теневого оборота пива достигает 442,0 тыс. дал, основную часть которого составляет продукция импортного производства, при этом оборот "теневого капитала" может составить сумму не меньшую, чем на рынке алкогольной продукции.</w:t>
      </w:r>
    </w:p>
    <w:p>
      <w:pPr>
        <w:spacing w:after="120"/>
        <w:jc w:val="both"/>
      </w:pPr>
      <w:r>
        <w:rPr>
          <w:rFonts w:ascii="Arial" w:cs="Arial" w:eastAsia="Arial" w:hAnsi="Arial"/>
          <w:sz w:val="24"/>
          <w:szCs w:val="24"/>
        </w:rPr>
        <w:t xml:space="preserve">Серьезное беспокойство вызывает состояние рынка медицинских препаратов. Бесконтрольно и в больших объемах в республику завозятся лекарственные средства, причем нередко сомнительного качества, с истекшими сроками годности. Массовый характер приобрела реализация их с рук. Все это создает угрозу жизни и здоровью населения.</w:t>
      </w:r>
    </w:p>
    <w:p>
      <w:pPr>
        <w:spacing w:after="120"/>
        <w:jc w:val="both"/>
      </w:pPr>
      <w:r>
        <w:rPr>
          <w:rFonts w:ascii="Arial" w:cs="Arial" w:eastAsia="Arial" w:hAnsi="Arial"/>
          <w:sz w:val="24"/>
          <w:szCs w:val="24"/>
        </w:rPr>
        <w:t xml:space="preserve">Сложившееся положение дел свидетельствует о недостатках и упущениях в деятельности правоохранительных и контролирующих органов по борьбе с контрабандой, подпольным производством и незаконной реализацией товаров.</w:t>
      </w:r>
    </w:p>
    <w:p>
      <w:pPr>
        <w:spacing w:after="120"/>
        <w:jc w:val="both"/>
      </w:pPr>
      <w:r>
        <w:rPr>
          <w:rFonts w:ascii="Arial" w:cs="Arial" w:eastAsia="Arial" w:hAnsi="Arial"/>
          <w:sz w:val="24"/>
          <w:szCs w:val="24"/>
        </w:rPr>
        <w:t xml:space="preserve">В целях усиления борьбы с незаконным ввозом и вывозом товаров, вещей и иных предметов, а также пресечения случаев нелицензионного производства и реализации некачественных товаров, обеспечения защиты внутреннего рынка и стимулирования деятельности таможенных, налоговых служб и других административных и правоохранительных органов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что с 1 ноября 2005 года средства, поступившие в республиканский бюджет от реализации предметов, обращенных в собственность государства на основании решения суда по уголовным делам и делам об административных правонарушениях, явившихся орудиями совершения или непосредственными объектами правонарушений и/или преступлений контрабанды, распределяются в следующем порядке:</w:t>
      </w:r>
    </w:p>
    <w:p>
      <w:pPr>
        <w:spacing w:after="120"/>
        <w:jc w:val="both"/>
      </w:pPr>
      <w:r>
        <w:rPr>
          <w:rFonts w:ascii="Arial" w:cs="Arial" w:eastAsia="Arial" w:hAnsi="Arial"/>
          <w:sz w:val="24"/>
          <w:szCs w:val="24"/>
        </w:rPr>
        <w:t xml:space="preserve">- 20 процентов - остаются в республиканском бюджете;</w:t>
      </w:r>
    </w:p>
    <w:p>
      <w:pPr>
        <w:spacing w:after="120"/>
        <w:jc w:val="both"/>
      </w:pPr>
      <w:r>
        <w:rPr>
          <w:rFonts w:ascii="Arial" w:cs="Arial" w:eastAsia="Arial" w:hAnsi="Arial"/>
          <w:sz w:val="24"/>
          <w:szCs w:val="24"/>
        </w:rPr>
        <w:t xml:space="preserve">- 10 процентов - направляются на поощрение сотрудников фискального и/или правоохранительного органа, военнослужащих Государственной пограничной службы Кыргызской Республики, участвовавших в задержании, расследовании и раскрытии правонарушения и/или преступления контрабанды. При этом, размер поощрения каждого из сотрудников определяется совместно руководителями соответствующих фискальных и/или правоохранительных органов;</w:t>
      </w:r>
    </w:p>
    <w:p>
      <w:pPr>
        <w:spacing w:after="120"/>
        <w:jc w:val="both"/>
      </w:pPr>
      <w:r>
        <w:rPr>
          <w:rFonts w:ascii="Arial" w:cs="Arial" w:eastAsia="Arial" w:hAnsi="Arial"/>
          <w:sz w:val="24"/>
          <w:szCs w:val="24"/>
        </w:rPr>
        <w:t xml:space="preserve">- 70 процентов - направляются лицу, заявившему о фактах правонарушений и/или преступлений в сфере контрабанды.</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rezcg9qqt-ugs7fbujns">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w3q9pn8iuzekzdhl8dfjm">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fo74jtr9sqmxynrkrrskq">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h7cpiao-ku0oa33i1ja3y">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x6wjl9kg26iaqkghkgq3x">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и финансов Кыргызской Республики:</w:t>
      </w:r>
    </w:p>
    <w:p>
      <w:pPr>
        <w:spacing w:after="120"/>
        <w:jc w:val="both"/>
      </w:pPr>
      <w:r>
        <w:rPr>
          <w:rFonts w:ascii="Arial" w:cs="Arial" w:eastAsia="Arial" w:hAnsi="Arial"/>
          <w:sz w:val="24"/>
          <w:szCs w:val="24"/>
        </w:rPr>
        <w:t xml:space="preserve">- совместно с заинтересованными государственными органами Кыргызской Республики в месячный срок разработать Порядок распределения средств, поступающих в бюджет от реализации предметов, явившихся орудиями или объектами правонарушений и/или преступлений контрабанды;</w:t>
      </w:r>
    </w:p>
    <w:p>
      <w:pPr>
        <w:spacing w:after="120"/>
        <w:jc w:val="both"/>
      </w:pPr>
      <w:r>
        <w:rPr>
          <w:rFonts w:ascii="Arial" w:cs="Arial" w:eastAsia="Arial" w:hAnsi="Arial"/>
          <w:sz w:val="24"/>
          <w:szCs w:val="24"/>
        </w:rPr>
        <w:t xml:space="preserve">- обеспечить своевременное перечисление средств на поощрение сотрудников фискальных и правоохранительных органов, военнослужащих Государственной пограничной службы Кыргызской Республики, а также лиц, заявивших о фактах правонарушений и/или преступлений контрабанды;</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постановлением.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wldkkktvuuvhigrhkv6kz">
        <w:r>
          <w:rPr>
            <w:rFonts w:ascii="Arial" w:cs="Arial" w:eastAsia="Arial" w:hAnsi="Arial"/>
            <w:color w:val="1D4ED8"/>
            <w:sz w:val="24"/>
            <w:szCs w:val="24"/>
            <w:u w:val="single"/>
          </w:rPr>
          <w:t xml:space="preserve">14 апреля 2006 года № 272</w:t>
        </w:r>
      </w:hyperlink>
      <w:r>
        <w:rPr>
          <w:rFonts w:ascii="Arial" w:cs="Arial" w:eastAsia="Arial" w:hAnsi="Arial"/>
          <w:sz w:val="24"/>
          <w:szCs w:val="24"/>
        </w:rPr>
        <w:t xml:space="preserve">, </w:t>
      </w:r>
      <w:hyperlink w:history="1" r:id="rIdna9u3q2kaepbi7gwqsmgk">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caqhprn_jg659ltr3-jpa">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rthilx2ml-rvjwygt5f5o">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rwis7ausw8nsjv6ujvicj">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выполнением настоящего постановления возложить на отдел по делам обороны и правопорядка, управление финансов Аппарата Премьер-министра Кыргызской Республики и Министерство экономики и финансов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acqjdrnapzq3csftwiy">
      <w:r>
        <w:rPr>
          <w:rFonts w:ascii="Arial" w:cs="Arial" w:eastAsia="Arial" w:hAnsi="Arial"/>
          <w:color w:val="132D3F"/>
          <w:sz w:val="16"/>
          <w:szCs w:val="16"/>
          <w:u w:val="single"/>
        </w:rPr>
        <w:t xml:space="preserve">dalil.kg/document/56645</w:t>
      </w:r>
    </w:hyperlink>
  </w:p>
  <w:p>
    <w:pPr>
      <w:spacing w:after="0" w:before="40"/>
      <w:jc w:val="center"/>
    </w:pPr>
    <w:hyperlink w:history="1" r:id="rIdumr2obw2wtdtqeq9nlk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zcsmhhluexhxjec3-w4" Type="http://schemas.openxmlformats.org/officeDocument/2006/relationships/hyperlink" Target="https://dalil.kg/document/158975" TargetMode="External"/><Relationship Id="rIdxznf3djiio3sbsd9mrxqc" Type="http://schemas.openxmlformats.org/officeDocument/2006/relationships/hyperlink" Target="https://dalil.kg/document/57345" TargetMode="External"/><Relationship Id="rIdx3lr8mpdsjpymx3hzzgqr" Type="http://schemas.openxmlformats.org/officeDocument/2006/relationships/hyperlink" Target="https://dalil.kg/document/57664" TargetMode="External"/><Relationship Id="rIdzcry1f28fyf6tdjc8tpuv" Type="http://schemas.openxmlformats.org/officeDocument/2006/relationships/hyperlink" Target="https://dalil.kg/document/90993" TargetMode="External"/><Relationship Id="rIdgvlmubqxuuofatdzwemxt" Type="http://schemas.openxmlformats.org/officeDocument/2006/relationships/hyperlink" Target="https://dalil.kg/document/95437" TargetMode="External"/><Relationship Id="rIdmpyapqbu4ixfta4vkx1qy" Type="http://schemas.openxmlformats.org/officeDocument/2006/relationships/hyperlink" Target="https://dalil.kg/document/94420" TargetMode="External"/><Relationship Id="rIdkrezcg9qqt-ugs7fbujns" Type="http://schemas.openxmlformats.org/officeDocument/2006/relationships/hyperlink" Target="https://dalil.kg/document/57345" TargetMode="External"/><Relationship Id="rIdw3q9pn8iuzekzdhl8dfjm" Type="http://schemas.openxmlformats.org/officeDocument/2006/relationships/hyperlink" Target="https://dalil.kg/document/57664" TargetMode="External"/><Relationship Id="rIdfo74jtr9sqmxynrkrrskq" Type="http://schemas.openxmlformats.org/officeDocument/2006/relationships/hyperlink" Target="https://dalil.kg/document/90993" TargetMode="External"/><Relationship Id="rIdh7cpiao-ku0oa33i1ja3y" Type="http://schemas.openxmlformats.org/officeDocument/2006/relationships/hyperlink" Target="https://dalil.kg/document/95437" TargetMode="External"/><Relationship Id="rIdx6wjl9kg26iaqkghkgq3x" Type="http://schemas.openxmlformats.org/officeDocument/2006/relationships/hyperlink" Target="https://dalil.kg/document/94420" TargetMode="External"/><Relationship Id="rIdwldkkktvuuvhigrhkv6kz" Type="http://schemas.openxmlformats.org/officeDocument/2006/relationships/hyperlink" Target="https://dalil.kg/document/57345" TargetMode="External"/><Relationship Id="rIdna9u3q2kaepbi7gwqsmgk" Type="http://schemas.openxmlformats.org/officeDocument/2006/relationships/hyperlink" Target="https://dalil.kg/document/57664" TargetMode="External"/><Relationship Id="rIdcaqhprn_jg659ltr3-jpa" Type="http://schemas.openxmlformats.org/officeDocument/2006/relationships/hyperlink" Target="https://dalil.kg/document/90993" TargetMode="External"/><Relationship Id="rIdrthilx2ml-rvjwygt5f5o" Type="http://schemas.openxmlformats.org/officeDocument/2006/relationships/hyperlink" Target="https://dalil.kg/document/95437" TargetMode="External"/><Relationship Id="rIdrwis7ausw8nsjv6ujvicj" Type="http://schemas.openxmlformats.org/officeDocument/2006/relationships/hyperlink" Target="https://dalil.kg/document/94420"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acqjdrnapzq3csftwiy" Type="http://schemas.openxmlformats.org/officeDocument/2006/relationships/hyperlink" Target="https://dalil.kg/document/56645" TargetMode="External"/><Relationship Id="rIdumr2obw2wtdtqeq9nlk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2026-09-23T19:18:29.823Z</dcterms:created>
  <dcterms:modified xsi:type="dcterms:W3CDTF">2026-09-23T19:18:29.823Z</dcterms:modified>
</cp:coreProperties>
</file>

<file path=docProps/custom.xml><?xml version="1.0" encoding="utf-8"?>
<Properties xmlns="http://schemas.openxmlformats.org/officeDocument/2006/custom-properties" xmlns:vt="http://schemas.openxmlformats.org/officeDocument/2006/docPropsVTypes"/>
</file>