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«Об установлении тарифов за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соответствии   с 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Не  согласиться с проектом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  изменений   в   Закон   Кыргызской   Республики    </w:t>
      </w:r>
      <w:r>
        <w:rPr>
          <w:rFonts w:ascii="Arial" w:cs="Arial" w:eastAsia="Arial" w:hAnsi="Arial"/>
          <w:sz w:val="20"/>
          <w:szCs w:val="20"/>
        </w:rPr>
        <w:t xml:space="preserve">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установлении  тарифов  за услуга по подаче поливной  воды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год»</w:t>
      </w:r>
      <w:r>
        <w:rPr>
          <w:rFonts w:ascii="Arial" w:cs="Arial" w:eastAsia="Arial" w:hAnsi="Arial"/>
          <w:sz w:val="20"/>
          <w:szCs w:val="20"/>
        </w:rPr>
        <w:t xml:space="preserve">,   инициированным 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Ташиевым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Кеѕеш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«Об установлении тарифов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услуги по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«О внесении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</w:t>
      </w:r>
      <w:r>
        <w:rPr>
          <w:rFonts w:ascii="Arial" w:cs="Arial" w:eastAsia="Arial" w:hAnsi="Arial"/>
          <w:sz w:val="20"/>
          <w:szCs w:val="20"/>
        </w:rPr>
        <w:t xml:space="preserve">«Об установлении тарифов за услуги по подаче  поливной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на  1999  год»</w:t>
      </w:r>
      <w:r>
        <w:rPr>
          <w:rFonts w:ascii="Arial" w:cs="Arial" w:eastAsia="Arial" w:hAnsi="Arial"/>
          <w:sz w:val="20"/>
          <w:szCs w:val="20"/>
        </w:rPr>
        <w:t xml:space="preserve">, инициированный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Ташиевым К.К., и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65  Конституции Кыргызской Республики, не дает согласие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  пункту 2 статьи 40 </w:t>
      </w:r>
      <w:r>
        <w:rPr>
          <w:rFonts w:ascii="Arial" w:cs="Arial" w:eastAsia="Arial" w:hAnsi="Arial"/>
          <w:sz w:val="20"/>
          <w:szCs w:val="20"/>
        </w:rPr>
        <w:t xml:space="preserve">Водного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размеры оплаты за услуги поставщика  воды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  дифференцированных тарифов за  услуги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по  кварталам было вызвано экономическими и  технологическими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причинами.   Установленные  тарифы  дифференцированы   по  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(обычные районы и районы с тяжелыми и 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природно-климатическими условиями). Снижение спроса на воду в  I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IV  кварталах  соответственно вызывает снижение тарифа.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влагозарядковых  и  влагонакопительных  поливов   в   этот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способствует  повышению  урожайности и снижению  поливной  нормы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 дефицита воды, что в свою очередь приводит к экономии 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 настоящее  время  такие  поливы  проводятся  крайне  редко,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повышение тарифа до 2 тыйынов за 1 кубический метр воды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их  исчезновению,  что  будет способствовать  повышению  спроса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объем воды в вегетационный период и в периоды дефицита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  поданной  воды  в период влагонакопительных  поливов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превышает 5-10 процентов от всего годового объема. Снижение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  2  тыйынов  за I кубический метр поданной воды в  вегетационный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период,  когда  подается большая часть поливной  воды,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снижению  получаемых  специальных средств  на  сумму  не  менее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процентов  от  достигнутого  уровня. Потерянные  объемы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средств  Департамента  водного  хозяйства 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водного  хозяйства  и  перерабатывающей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не могут быть восполнены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сентябре  2006 года завершена реализация проекта 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банка   развития  «Изучение  систем  ценообразования  и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возмещения   издержек   в  ирригации»,  целью 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разработка     предложений     по     совершенствованию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ценообразования  и  механизмов  возмещения  затрат,  которые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водное хозяйство по оказанию услуг за доставку поливной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tn4elo34xzrwzlh_x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dalil.kg/document/57801</w:t>
      </w:r>
    </w:hyperlink>
  </w:p>
  <w:p>
    <w:pPr>
      <w:spacing w:after="0" w:before="40"/>
      <w:jc w:val="center"/>
    </w:pPr>
    <w:hyperlink w:history="1" r:id="rIdvrbzzlrhsj2c7rxe9ir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tn4elo34xzrwzlh_xuu" Type="http://schemas.openxmlformats.org/officeDocument/2006/relationships/hyperlink" Target="https://dalil.kg/document/57801" TargetMode="External"/><Relationship Id="rIdvrbzzlrhsj2c7rxe9ir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2026-09-25T09:13:28.100Z</dcterms:created>
  <dcterms:modified xsi:type="dcterms:W3CDTF">2026-09-25T09:13:28.100Z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