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x-tzisxn2xyutkkvgb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23 июля 1998 года N 491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развития государственной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в области контроля наркотических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средств, психотропных веществ и прекурсоров</w:t>
      </w:r>
    </w:p>
    <w:p>
      <w:r>
        <w:rPr>
          <w:rFonts w:ascii="Arial" w:cs="Arial" w:eastAsia="Arial" w:hAnsi="Arial"/>
          <w:sz w:val="24"/>
          <w:szCs w:val="24"/>
        </w:rPr>
        <w:t xml:space="preserve">на 1998-2000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государственной политики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в  области  контроля наркотических средств,   психотропных</w:t>
      </w:r>
    </w:p>
    <w:p>
      <w:r>
        <w:rPr>
          <w:rFonts w:ascii="Arial" w:cs="Arial" w:eastAsia="Arial" w:hAnsi="Arial"/>
          <w:sz w:val="24"/>
          <w:szCs w:val="24"/>
        </w:rPr>
        <w:t xml:space="preserve">веществ и прекурсоров на 1998-2000 годы (прилагается).</w:t>
      </w:r>
    </w:p>
    <w:p>
      <w:r>
        <w:rPr>
          <w:rFonts w:ascii="Arial" w:cs="Arial" w:eastAsia="Arial" w:hAnsi="Arial"/>
          <w:sz w:val="24"/>
          <w:szCs w:val="24"/>
        </w:rPr>
        <w:t xml:space="preserve">2.   Государственной   комиссии   при   Правительстве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по  контролю  наркотиков  в  своей  деятельности  и   при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подготовке  нормативно-правовых  актов  руководствоваться  положениями</w:t>
      </w:r>
    </w:p>
    <w:p>
      <w:r>
        <w:rPr>
          <w:rFonts w:ascii="Arial" w:cs="Arial" w:eastAsia="Arial" w:hAnsi="Arial"/>
          <w:sz w:val="24"/>
          <w:szCs w:val="24"/>
        </w:rPr>
        <w:t xml:space="preserve">данной Концепции.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-tzisxn2xyutkkvgbip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2026-09-23T04:48:31.009Z</dcterms:created>
  <dcterms:modified xsi:type="dcterms:W3CDTF">2026-09-23T04:48:31.009Z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