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davsiryhfmnlj_d32so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2006 год №756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оборота боевого ручного стрелкового оружия, боеприпасов к нему, а также холодного оружия в государственных военизированных организациях</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hqaa12j5cva-ckd_yrn">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hyperlink w:history="1" r:id="rIdo6j4gz2ac-0xh6_hdgjzu">
        <w:r>
          <w:rPr>
            <w:rFonts w:ascii="Arial" w:cs="Arial" w:eastAsia="Arial" w:hAnsi="Arial"/>
            <w:i/>
            <w:iCs/>
            <w:color w:val="1D4ED8"/>
            <w:sz w:val="24"/>
            <w:szCs w:val="24"/>
            <w:u w:val="single"/>
          </w:rPr>
          <w:t xml:space="preserve">24 сентября 2008 года № 528</w:t>
        </w:r>
      </w:hyperlink>
      <w:r>
        <w:rPr>
          <w:rFonts w:ascii="Arial" w:cs="Arial" w:eastAsia="Arial" w:hAnsi="Arial"/>
          <w:i/>
          <w:iCs/>
          <w:sz w:val="24"/>
          <w:szCs w:val="24"/>
        </w:rPr>
        <w:t xml:space="preserve">, 
 </w:t>
      </w:r>
      <w:hyperlink w:history="1" r:id="rIdarq6qhd_ffzr73gsnqvyi">
        <w:r>
          <w:rPr>
            <w:rFonts w:ascii="Arial" w:cs="Arial" w:eastAsia="Arial" w:hAnsi="Arial"/>
            <w:i/>
            <w:iCs/>
            <w:color w:val="1D4ED8"/>
            <w:sz w:val="24"/>
            <w:szCs w:val="24"/>
            <w:u w:val="single"/>
          </w:rPr>
          <w:t xml:space="preserve">2 февраля 2010 года № 52</w:t>
        </w:r>
      </w:hyperlink>
      <w:r>
        <w:rPr>
          <w:rFonts w:ascii="Arial" w:cs="Arial" w:eastAsia="Arial" w:hAnsi="Arial"/>
          <w:i/>
          <w:iCs/>
          <w:sz w:val="24"/>
          <w:szCs w:val="24"/>
        </w:rPr>
        <w:t xml:space="preserve">, </w:t>
      </w:r>
      <w:hyperlink w:history="1" r:id="rIdaj6tttdoszszwi-ldwxei">
        <w:r>
          <w:rPr>
            <w:rFonts w:ascii="Arial" w:cs="Arial" w:eastAsia="Arial" w:hAnsi="Arial"/>
            <w:i/>
            <w:iCs/>
            <w:color w:val="1D4ED8"/>
            <w:sz w:val="24"/>
            <w:szCs w:val="24"/>
            <w:u w:val="single"/>
          </w:rPr>
          <w:t xml:space="preserve">2 апреля 2010 года № 204</w:t>
        </w:r>
      </w:hyperlink>
      <w:r>
        <w:rPr>
          <w:rFonts w:ascii="Arial" w:cs="Arial" w:eastAsia="Arial" w:hAnsi="Arial"/>
          <w:i/>
          <w:iCs/>
          <w:sz w:val="24"/>
          <w:szCs w:val="24"/>
        </w:rPr>
        <w:t xml:space="preserve">, </w:t>
      </w:r>
      <w:hyperlink w:history="1" r:id="rIdeyjjqtif1u90x4dde0pfb">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w:t>
      </w:r>
      <w:hyperlink w:history="1" r:id="rIdotdibbtupmmqvhmntjeg7">
        <w:r>
          <w:rPr>
            <w:rFonts w:ascii="Arial" w:cs="Arial" w:eastAsia="Arial" w:hAnsi="Arial"/>
            <w:i/>
            <w:iCs/>
            <w:color w:val="1D4ED8"/>
            <w:sz w:val="24"/>
            <w:szCs w:val="24"/>
            <w:u w:val="single"/>
          </w:rPr>
          <w:t xml:space="preserve">26 июня 2012 года №440</w:t>
        </w:r>
      </w:hyperlink>
      <w:r>
        <w:rPr>
          <w:rFonts w:ascii="Arial" w:cs="Arial" w:eastAsia="Arial" w:hAnsi="Arial"/>
          <w:i/>
          <w:iCs/>
          <w:sz w:val="24"/>
          <w:szCs w:val="24"/>
        </w:rPr>
        <w:t xml:space="preserve">, 
 </w:t>
      </w:r>
      <w:hyperlink w:history="1" r:id="rIdjftukzy50dybsgit7mx6r">
        <w:r>
          <w:rPr>
            <w:rFonts w:ascii="Arial" w:cs="Arial" w:eastAsia="Arial" w:hAnsi="Arial"/>
            <w:i/>
            <w:iCs/>
            <w:color w:val="1D4ED8"/>
            <w:sz w:val="24"/>
            <w:szCs w:val="24"/>
            <w:u w:val="single"/>
          </w:rPr>
          <w:t xml:space="preserve">18 февраля 2013 года № 79</w:t>
        </w:r>
      </w:hyperlink>
      <w:r>
        <w:rPr>
          <w:rFonts w:ascii="Arial" w:cs="Arial" w:eastAsia="Arial" w:hAnsi="Arial"/>
          <w:i/>
          <w:iCs/>
          <w:sz w:val="24"/>
          <w:szCs w:val="24"/>
        </w:rPr>
        <w:t xml:space="preserve">, </w:t>
      </w:r>
      <w:hyperlink w:history="1" r:id="rIdmxvjcyjgnpp1h9shiuuuh">
        <w:r>
          <w:rPr>
            <w:rFonts w:ascii="Arial" w:cs="Arial" w:eastAsia="Arial" w:hAnsi="Arial"/>
            <w:i/>
            <w:iCs/>
            <w:color w:val="1D4ED8"/>
            <w:sz w:val="24"/>
            <w:szCs w:val="24"/>
            <w:u w:val="single"/>
          </w:rPr>
          <w:t xml:space="preserve">14 июня 2013 года № 354</w:t>
        </w:r>
      </w:hyperlink>
      <w:r>
        <w:rPr>
          <w:rFonts w:ascii="Arial" w:cs="Arial" w:eastAsia="Arial" w:hAnsi="Arial"/>
          <w:i/>
          <w:iCs/>
          <w:sz w:val="24"/>
          <w:szCs w:val="24"/>
        </w:rPr>
        <w:t xml:space="preserve">, </w:t>
      </w:r>
      <w:hyperlink w:history="1" r:id="rIdh1ssrcdbv-e6zvleswpk-">
        <w:r>
          <w:rPr>
            <w:rFonts w:ascii="Arial" w:cs="Arial" w:eastAsia="Arial" w:hAnsi="Arial"/>
            <w:i/>
            <w:iCs/>
            <w:color w:val="1D4ED8"/>
            <w:sz w:val="24"/>
            <w:szCs w:val="24"/>
            <w:u w:val="single"/>
          </w:rPr>
          <w:t xml:space="preserve">21 января 2014 года № 42</w:t>
        </w:r>
      </w:hyperlink>
      <w:r>
        <w:rPr>
          <w:rFonts w:ascii="Arial" w:cs="Arial" w:eastAsia="Arial" w:hAnsi="Arial"/>
          <w:i/>
          <w:iCs/>
          <w:sz w:val="24"/>
          <w:szCs w:val="24"/>
        </w:rPr>
        <w:t xml:space="preserve">, </w:t>
      </w:r>
      <w:hyperlink w:history="1" r:id="rIdhqq95zkcdclktlzuyln4p">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w:t>
      </w:r>
      <w:hyperlink w:history="1" r:id="rIdgm9yt7yfdoywarotuu00-">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 </w:t>
      </w:r>
      <w:hyperlink w:history="1" r:id="rIdvvyoilyehecixszx4rsnj">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 </w:t>
      </w:r>
      <w:hyperlink w:history="1" r:id="rIdkie4gcqejl-vqv6fm-qdt">
        <w:r>
          <w:rPr>
            <w:rFonts w:ascii="Arial" w:cs="Arial" w:eastAsia="Arial" w:hAnsi="Arial"/>
            <w:i/>
            <w:iCs/>
            <w:color w:val="1D4ED8"/>
            <w:sz w:val="24"/>
            <w:szCs w:val="24"/>
            <w:u w:val="single"/>
          </w:rPr>
          <w:t xml:space="preserve">6 июня 2026 года № 400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2. Продажа, передача и приобретение оружия</w:t>
      </w:r>
    </w:p>
    <w:p>
      <w:pPr>
        <w:spacing w:after="120"/>
        <w:jc w:val="both"/>
      </w:pPr>
      <w:r>
        <w:rPr>
          <w:rFonts w:ascii="Arial" w:cs="Arial" w:eastAsia="Arial" w:hAnsi="Arial"/>
          <w:sz w:val="24"/>
          <w:szCs w:val="24"/>
        </w:rPr>
        <w:t xml:space="preserve"> 3. Коллекционирование и экспонирование оружия</w:t>
      </w:r>
    </w:p>
    <w:p>
      <w:pPr>
        <w:spacing w:after="120"/>
        <w:jc w:val="both"/>
      </w:pPr>
      <w:r>
        <w:rPr>
          <w:rFonts w:ascii="Arial" w:cs="Arial" w:eastAsia="Arial" w:hAnsi="Arial"/>
          <w:sz w:val="24"/>
          <w:szCs w:val="24"/>
        </w:rPr>
        <w:t xml:space="preserve"> 4. Учет, хранение и ношение оружия</w:t>
      </w:r>
    </w:p>
    <w:p>
      <w:pPr>
        <w:spacing w:after="120"/>
        <w:jc w:val="both"/>
      </w:pPr>
      <w:r>
        <w:rPr>
          <w:rFonts w:ascii="Arial" w:cs="Arial" w:eastAsia="Arial" w:hAnsi="Arial"/>
          <w:sz w:val="24"/>
          <w:szCs w:val="24"/>
        </w:rPr>
        <w:t xml:space="preserve"> 5. Перевозка и транспортирование оружия</w:t>
      </w:r>
    </w:p>
    <w:p>
      <w:pPr>
        <w:spacing w:after="120"/>
        <w:jc w:val="both"/>
      </w:pPr>
      <w:r>
        <w:rPr>
          <w:rFonts w:ascii="Arial" w:cs="Arial" w:eastAsia="Arial" w:hAnsi="Arial"/>
          <w:sz w:val="24"/>
          <w:szCs w:val="24"/>
        </w:rPr>
        <w:t xml:space="preserve"> 6. Изъятие и уничтожение оружия</w:t>
      </w:r>
    </w:p>
    <w:p>
      <w:pPr>
        <w:spacing w:after="120"/>
        <w:jc w:val="both"/>
      </w:pPr>
      <w:r>
        <w:rPr>
          <w:rFonts w:ascii="Arial" w:cs="Arial" w:eastAsia="Arial" w:hAnsi="Arial"/>
          <w:sz w:val="24"/>
          <w:szCs w:val="24"/>
        </w:rPr>
        <w:t xml:space="preserve"> 7. Вывоз из Кыргызской Республики и ввоз на территорию Кыргызской Республики оружия</w:t>
      </w:r>
    </w:p>
    <w:p>
      <w:pPr>
        <w:spacing w:after="120"/>
        <w:jc w:val="both"/>
      </w:pPr>
      <w:r>
        <w:rPr>
          <w:rFonts w:ascii="Arial" w:cs="Arial" w:eastAsia="Arial" w:hAnsi="Arial"/>
          <w:sz w:val="24"/>
          <w:szCs w:val="24"/>
        </w:rPr>
        <w:t xml:space="preserve">8. Контроль за оборотом оружия</w:t>
      </w:r>
    </w:p>
    <w:p>
      <w:pPr>
        <w:spacing w:after="120"/>
        <w:jc w:val="both"/>
      </w:pPr>
      <w:r>
        <w:rPr>
          <w:rFonts w:ascii="Arial" w:cs="Arial" w:eastAsia="Arial" w:hAnsi="Arial"/>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регулируют оборот боевого ручного стрелкового оружия, боеприпасов к нему, а также холодного оружия (далее - оружие), его производство, продажу, передачу, приобретение, ремонт, учет, хранение, ношение, транспортировку, использование, изъятие, уничтожение, экспорт и импорт оружия, а также ввоз на территорию Кыргызской Республики единичных экземпляров оружия.</w:t>
      </w:r>
    </w:p>
    <w:p>
      <w:pPr>
        <w:spacing w:after="60"/>
        <w:ind w:firstLine="425"/>
        <w:jc w:val="both"/>
      </w:pPr>
      <w:r>
        <w:rPr>
          <w:rFonts w:ascii="Arial" w:cs="Arial" w:eastAsia="Arial" w:hAnsi="Arial"/>
          <w:sz w:val="24"/>
          <w:szCs w:val="24"/>
        </w:rPr>
        <w:t xml:space="preserve">Оборот оружия осуществляется в воинских частях и организациях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Государственного комитета национальной безопасности Кыргызской Республики, уполномоченного государственного органа в сфере охраны Государственной границы, органа государственной охраны, государственного органа уголовно-исполнительной системы Кыргызской Республики, уполномоченном государственном органе в сфере таможенного дела, специальных службах Национального банка Кыргызской Республики, службах судебных приставов Кыргызской Республики (далее - государственные военизированные организации и специальные службы).</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2tuhakfbspnoh_9bzrlwc">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hyperlink w:history="1" r:id="rId3lyyibfg1uz_bo_dgeeef">
        <w:r>
          <w:rPr>
            <w:rFonts w:ascii="Arial" w:cs="Arial" w:eastAsia="Arial" w:hAnsi="Arial"/>
            <w:i/>
            <w:iCs/>
            <w:color w:val="1D4ED8"/>
            <w:sz w:val="24"/>
            <w:szCs w:val="24"/>
            <w:u w:val="single"/>
          </w:rPr>
          <w:t xml:space="preserve">24 сентября 2008 года № 528</w:t>
        </w:r>
      </w:hyperlink>
      <w:r>
        <w:rPr>
          <w:rFonts w:ascii="Arial" w:cs="Arial" w:eastAsia="Arial" w:hAnsi="Arial"/>
          <w:i/>
          <w:iCs/>
          <w:sz w:val="24"/>
          <w:szCs w:val="24"/>
        </w:rPr>
        <w:t xml:space="preserve">,</w:t>
      </w:r>
      <w:hyperlink w:history="1" r:id="rIdtc03nkd1x3gdazyfr624s">
        <w:r>
          <w:rPr>
            <w:rFonts w:ascii="Arial" w:cs="Arial" w:eastAsia="Arial" w:hAnsi="Arial"/>
            <w:i/>
            <w:iCs/>
            <w:color w:val="1D4ED8"/>
            <w:sz w:val="24"/>
            <w:szCs w:val="24"/>
            <w:u w:val="single"/>
          </w:rPr>
          <w:t xml:space="preserve"> 2 февраля 2010 года № 52</w:t>
        </w:r>
      </w:hyperlink>
      <w:r>
        <w:rPr>
          <w:rFonts w:ascii="Arial" w:cs="Arial" w:eastAsia="Arial" w:hAnsi="Arial"/>
          <w:i/>
          <w:iCs/>
          <w:sz w:val="24"/>
          <w:szCs w:val="24"/>
        </w:rPr>
        <w:t xml:space="preserve">,</w:t>
      </w:r>
      <w:hyperlink w:history="1" r:id="rIdperzk8qzttzhp5sxqw-ip">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 </w:t>
      </w:r>
      <w:hyperlink w:history="1" r:id="rIdbqj1eesxdb-cqvfgw_nnv">
        <w:r>
          <w:rPr>
            <w:rFonts w:ascii="Arial" w:cs="Arial" w:eastAsia="Arial" w:hAnsi="Arial"/>
            <w:i/>
            <w:iCs/>
            <w:color w:val="1D4ED8"/>
            <w:sz w:val="24"/>
            <w:szCs w:val="24"/>
            <w:u w:val="single"/>
          </w:rPr>
          <w:t xml:space="preserve">18 февраля 2013 года № 79</w:t>
        </w:r>
      </w:hyperlink>
      <w:r>
        <w:rPr>
          <w:rFonts w:ascii="Arial" w:cs="Arial" w:eastAsia="Arial" w:hAnsi="Arial"/>
          <w:i/>
          <w:iCs/>
          <w:sz w:val="24"/>
          <w:szCs w:val="24"/>
        </w:rPr>
        <w:t xml:space="preserve">, </w:t>
      </w:r>
      <w:hyperlink w:history="1" r:id="rIdidqpmryhpfr-iweh6iwie">
        <w:r>
          <w:rPr>
            <w:rFonts w:ascii="Arial" w:cs="Arial" w:eastAsia="Arial" w:hAnsi="Arial"/>
            <w:i/>
            <w:iCs/>
            <w:color w:val="1D4ED8"/>
            <w:sz w:val="24"/>
            <w:szCs w:val="24"/>
            <w:u w:val="single"/>
          </w:rPr>
          <w:t xml:space="preserve">14 июня 2013 года № 354</w:t>
        </w:r>
      </w:hyperlink>
      <w:r>
        <w:rPr>
          <w:rFonts w:ascii="Arial" w:cs="Arial" w:eastAsia="Arial" w:hAnsi="Arial"/>
          <w:i/>
          <w:iCs/>
          <w:sz w:val="24"/>
          <w:szCs w:val="24"/>
        </w:rPr>
        <w:t xml:space="preserve">, </w:t>
      </w:r>
      <w:hyperlink w:history="1" r:id="rIdto3i0dkjurzzm7nvkd4yy">
        <w:r>
          <w:rPr>
            <w:rFonts w:ascii="Arial" w:cs="Arial" w:eastAsia="Arial" w:hAnsi="Arial"/>
            <w:i/>
            <w:iCs/>
            <w:color w:val="1D4ED8"/>
            <w:sz w:val="24"/>
            <w:szCs w:val="24"/>
            <w:u w:val="single"/>
          </w:rPr>
          <w:t xml:space="preserve">21 января 2014 года № 42</w:t>
        </w:r>
      </w:hyperlink>
      <w:r>
        <w:rPr>
          <w:rFonts w:ascii="Arial" w:cs="Arial" w:eastAsia="Arial" w:hAnsi="Arial"/>
          <w:i/>
          <w:iCs/>
          <w:sz w:val="24"/>
          <w:szCs w:val="24"/>
        </w:rPr>
        <w:t xml:space="preserve">, </w:t>
      </w:r>
      <w:hyperlink w:history="1" r:id="rIdyz2cwcobu7vznr8hmu6z_">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w:t>
      </w:r>
      <w:hyperlink w:history="1" r:id="rIdmml59mowirtvutv0caolf">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 </w:t>
      </w:r>
      <w:hyperlink w:history="1" r:id="rIdyxak74auqbmyiqegbtjn5">
        <w:r>
          <w:rPr>
            <w:rFonts w:ascii="Arial" w:cs="Arial" w:eastAsia="Arial" w:hAnsi="Arial"/>
            <w:i/>
            <w:iCs/>
            <w:color w:val="1D4ED8"/>
            <w:sz w:val="24"/>
            <w:szCs w:val="24"/>
            <w:u w:val="single"/>
          </w:rPr>
          <w:t xml:space="preserve">6 июня 2026 года № 400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Продажа, передача и приобретение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Государственная военизированная организация или специальная служба имеет право:</w:t>
      </w:r>
    </w:p>
    <w:p>
      <w:pPr>
        <w:spacing w:after="120"/>
        <w:jc w:val="both"/>
      </w:pPr>
      <w:r>
        <w:rPr>
          <w:rFonts w:ascii="Arial" w:cs="Arial" w:eastAsia="Arial" w:hAnsi="Arial"/>
          <w:sz w:val="24"/>
          <w:szCs w:val="24"/>
        </w:rPr>
        <w:t xml:space="preserve">а) передавать имеющееся у нее на вооружении огнестрельное оружие и боеприпасы к нему, а также  холодное оружие другой государственной военизированной организации или специальной службе, являющейся резидентом Кыргызской Республики.</w:t>
      </w:r>
    </w:p>
    <w:p>
      <w:pPr>
        <w:spacing w:after="120"/>
        <w:jc w:val="both"/>
      </w:pPr>
      <w:r>
        <w:rPr>
          <w:rFonts w:ascii="Arial" w:cs="Arial" w:eastAsia="Arial" w:hAnsi="Arial"/>
          <w:sz w:val="24"/>
          <w:szCs w:val="24"/>
        </w:rPr>
        <w:t xml:space="preserve">При этом передача оружия и боеприпасов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(передачи), составляемого представителями соответствующих государственных военизированных организаций и (или) специальных служб;</w:t>
      </w:r>
    </w:p>
    <w:p>
      <w:pPr>
        <w:spacing w:after="120"/>
        <w:jc w:val="both"/>
      </w:pPr>
      <w:r>
        <w:rPr>
          <w:rFonts w:ascii="Arial" w:cs="Arial" w:eastAsia="Arial" w:hAnsi="Arial"/>
          <w:sz w:val="24"/>
          <w:szCs w:val="24"/>
        </w:rPr>
        <w:t xml:space="preserve">б) продавать с согласия уполномоченного органа по управлению государственным имуществом имеющиеся у нее на вооружении огнестрельное оружие и боеприпасы к нему, а также  холодное оружие юридическим лицам,  наделенным в установленном порядке правом на торговлю соответствующими видами оружия и боеприпасов;</w:t>
      </w:r>
    </w:p>
    <w:p>
      <w:pPr>
        <w:spacing w:after="120"/>
        <w:jc w:val="both"/>
      </w:pPr>
      <w:r>
        <w:rPr>
          <w:rFonts w:ascii="Arial" w:cs="Arial" w:eastAsia="Arial" w:hAnsi="Arial"/>
          <w:sz w:val="24"/>
          <w:szCs w:val="24"/>
        </w:rPr>
        <w:t xml:space="preserve">в) в установленном порядке приобретать оружие и боеприпасы у юридических лиц, имеющих право на его производство и (или) продажу;</w:t>
      </w:r>
    </w:p>
    <w:p>
      <w:pPr>
        <w:spacing w:after="120"/>
        <w:jc w:val="both"/>
      </w:pPr>
      <w:r>
        <w:rPr>
          <w:rFonts w:ascii="Arial" w:cs="Arial" w:eastAsia="Arial" w:hAnsi="Arial"/>
          <w:sz w:val="24"/>
          <w:szCs w:val="24"/>
        </w:rPr>
        <w:t xml:space="preserve">г) приобретать оружие у физических лиц, владеющих им на законных основаниях;</w:t>
      </w:r>
    </w:p>
    <w:p>
      <w:pPr>
        <w:spacing w:after="120"/>
        <w:jc w:val="both"/>
      </w:pPr>
      <w:r>
        <w:rPr>
          <w:rFonts w:ascii="Arial" w:cs="Arial" w:eastAsia="Arial" w:hAnsi="Arial"/>
          <w:sz w:val="24"/>
          <w:szCs w:val="24"/>
        </w:rPr>
        <w:t xml:space="preserve">д) принимать оружие и (или) боеприпасы у физических лиц добровольно их сдавшим в органы внутренних дел Кыргызской Республики, в том числе за вознаграждение, в случаях и порядке, определяемых Кабинет Министров Кыргызской Республики;</w:t>
      </w:r>
    </w:p>
    <w:p>
      <w:pPr>
        <w:spacing w:after="120"/>
        <w:jc w:val="both"/>
      </w:pPr>
      <w:r>
        <w:rPr>
          <w:rFonts w:ascii="Arial" w:cs="Arial" w:eastAsia="Arial" w:hAnsi="Arial"/>
          <w:sz w:val="24"/>
          <w:szCs w:val="24"/>
        </w:rPr>
        <w:t xml:space="preserve">е) передавать во временное пользование юридическим лицам с особыми уставными задачами боевое ручное стрелковое оружие отдельных типов и моделей для исполнения возложенных на них законом обязанностей;</w:t>
      </w:r>
    </w:p>
    <w:p>
      <w:pPr>
        <w:spacing w:after="120"/>
        <w:jc w:val="both"/>
      </w:pPr>
      <w:r>
        <w:rPr>
          <w:rFonts w:ascii="Arial" w:cs="Arial" w:eastAsia="Arial" w:hAnsi="Arial"/>
          <w:sz w:val="24"/>
          <w:szCs w:val="24"/>
        </w:rPr>
        <w:t xml:space="preserve">ж) временно выдавать короткоствольное оружие отдельным категориям должностных лиц  государственных органов, которым законом разрешено хранение и ношение оружия.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fcksrngbzuuevydzxxqce">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Кабинета Министров КР от </w:t>
      </w:r>
      <w:hyperlink w:history="1" r:id="rIdnlvgpsw0iic4pny2epk5c">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Передача оружия и боеприпасов в порядке, предусмотренном подпунктами «е» и «ж» пункта 2 настоящих Правил,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(передачи), составляемого представителями соответствующих государственных военизированных организаций и (или) специальных служб с участием представителя органов внутренних дел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При передаче оружия и боеприпасов в порядке, определенном подпунктами «а», «е» и «ж» пункта 2 настоящих Правил, производится их осмотр, проверяется количество, комплектность, соответствие номеров и маркировки оружия и боеприпасов данным, содержащимся в акте.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 Пополнение боеприпасов, израсходованных при исполнении служебных обязанностей либо в ходе учебной стрельбы, осуществляется путем их приобретения за счет средств юридического лица с особыми уставными задачами или государственного органа, которому оружие было передано во временное пользование,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 По каждому случаю применения или использования оружия и расходования боеприпасов юридическим лицом с особыми уставными задачами или государственным органом, которому оружие было передано во временное пользование в порядке, определяемом подпунктами  «е» и «ж» пункта 2 настоящих Правил, составляется акт, копии которого направляются в Министерство внутренних дел Кыргызской Республики и в государственную военизированную организацию или специальную службу, являющуюся собственником оружия.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 В случае необходимости, оружие, переданное во временное пользование в порядке, определяемом подпунктами «е» и «ж» пункта 2 настоящих Правил, на основании письменного обращения собственника подлежит незамедлительному возврату.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При выявлении факта нарушения установленных законодательством Кыргызской Республики и настоящими Правилами порядка хранения, ношения, использования и применения оружия, переданного во временное пользование в порядке, определяемом подпунктами «е» и «ж» пункта 2 настоящих Правил, указанное оружие подлежит незамедлительному возврату собственнику.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7</w:t>
      </w:r>
      <w:r>
        <w:rPr>
          <w:rFonts w:ascii="Arial" w:cs="Arial" w:eastAsia="Arial" w:hAnsi="Arial"/>
          <w:sz w:val="24"/>
          <w:szCs w:val="24"/>
        </w:rPr>
        <w:t xml:space="preserve">. Продажа оружия и боеприпасов в порядке, определяемом подпунктом «б» пункта 2 настоящих Правил, осуществляется по цене, определяемой комиссией на основании средних рыночных цен либо результатов независимой оценки.</w:t>
      </w:r>
    </w:p>
    <w:p>
      <w:pPr>
        <w:spacing w:after="120"/>
        <w:jc w:val="both"/>
      </w:pPr>
      <w:r>
        <w:rPr>
          <w:rFonts w:ascii="Arial" w:cs="Arial" w:eastAsia="Arial" w:hAnsi="Arial"/>
          <w:sz w:val="24"/>
          <w:szCs w:val="24"/>
        </w:rPr>
        <w:t xml:space="preserve">При этом комиссия создается межведомственным приказом, в состав которой входит не менее 5 человек из числа представителей соответствующих государственных военизированных организаций и (или) специальный служб, а также уполномоченных органов, ведающих вопросами государственного имущества, внутренних дел и национальной безопасности.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8</w:t>
      </w:r>
      <w:r>
        <w:rPr>
          <w:rFonts w:ascii="Arial" w:cs="Arial" w:eastAsia="Arial" w:hAnsi="Arial"/>
          <w:sz w:val="24"/>
          <w:szCs w:val="24"/>
        </w:rPr>
        <w:t xml:space="preserve">. Денежные средства, поступившее от реализации оружия и боеприпасов в порядке, определяемом подпунктом «б» пункта 2 настоящих Правил, подлежат зачислению в республиканский бюджет, кроме случаев, если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установлен иной порядок.</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5zvwal1rxyyh3ee5wog0z">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Кабинета Министров КР от </w:t>
      </w:r>
      <w:hyperlink w:history="1" r:id="rIddafkztb33eiembdhidnwb">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Руководители государственных военизированных организаций имеют право награждать кортиком, шашкой или саблей лиц офицерского состава, состоящих у них на службе. Награждение оружием оформляется приказом руководителя государственной военизированной организации.</w:t>
      </w:r>
    </w:p>
    <w:p>
      <w:pPr>
        <w:spacing w:after="60"/>
        <w:ind w:firstLine="567"/>
        <w:jc w:val="both"/>
      </w:pPr>
      <w:r>
        <w:rPr>
          <w:rFonts w:ascii="Arial" w:cs="Arial" w:eastAsia="Arial" w:hAnsi="Arial"/>
          <w:sz w:val="24"/>
          <w:szCs w:val="24"/>
        </w:rPr>
        <w:t xml:space="preserve">Награждение другими видами наградного оружия, предусмотренными Законом Кыргызской Республики "Об оружии", лиц офицерского состава, состоящих на службе в государственных военизированных организациях, осуществляется распоряжениями Президента Кыргызской Республики,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Торага Жогорку Кенеша Кыргызской Республики с согласия Координационного совета Жогорку Кенеша Кыргызской Республики.</w:t>
      </w:r>
    </w:p>
    <w:p>
      <w:pPr>
        <w:spacing w:after="120"/>
        <w:jc w:val="both"/>
      </w:pPr>
      <w:r>
        <w:rPr>
          <w:rFonts w:ascii="Arial" w:cs="Arial" w:eastAsia="Arial" w:hAnsi="Arial"/>
          <w:sz w:val="24"/>
          <w:szCs w:val="24"/>
        </w:rPr>
        <w:t xml:space="preserve">Перед вручением наградного нарезного оружия каждый экземпляр с пятью патронами передается в Министерство внутренних дел Кыргызской Республики органом, выдавшим оружие, для контрольного отстрела и помещения отстрелянных пуль и гильз в пулегильзотеку Экспертно-криминалистического центра Министерства внутренних дел Кыргызской Республики.</w:t>
      </w:r>
    </w:p>
    <w:p>
      <w:pPr>
        <w:spacing w:after="120"/>
        <w:jc w:val="both"/>
      </w:pPr>
      <w:r>
        <w:rPr>
          <w:rFonts w:ascii="Arial" w:cs="Arial" w:eastAsia="Arial" w:hAnsi="Arial"/>
          <w:sz w:val="24"/>
          <w:szCs w:val="24"/>
        </w:rPr>
        <w:t xml:space="preserve">В случае непредставления органом, выдавшим оружие, наградного нарезного оружия для отстрела разрешение на его хранение и ношение не выдается.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acyhj1fsh7jq7jqxbevni">
        <w:r>
          <w:rPr>
            <w:rFonts w:ascii="Arial" w:cs="Arial" w:eastAsia="Arial" w:hAnsi="Arial"/>
            <w:i/>
            <w:iCs/>
            <w:color w:val="1D4ED8"/>
            <w:sz w:val="24"/>
            <w:szCs w:val="24"/>
            <w:u w:val="single"/>
          </w:rPr>
          <w:t xml:space="preserve">26 июня 2012 года № 440</w:t>
        </w:r>
      </w:hyperlink>
      <w:r>
        <w:rPr>
          <w:rFonts w:ascii="Arial" w:cs="Arial" w:eastAsia="Arial" w:hAnsi="Arial"/>
          <w:i/>
          <w:iCs/>
          <w:sz w:val="24"/>
          <w:szCs w:val="24"/>
        </w:rPr>
        <w:t xml:space="preserve">, Кабинета Министров КР от </w:t>
      </w:r>
      <w:hyperlink w:history="1" r:id="rIdchvwbjpdq0qnn4dgcjpwl">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Государственные военизированные организации вправе продавать боеприпасы лицам, награжденным в соответствии с законодательством Кыргызской Республики именным огнестрельным оружием, в комплекте, определяемом данной организацией, по установленным ценам за наличный расчет. Реализация боеприпасов на соответствующий вид именного огнестрельного оружия производится гражданам Кыргызской Республики на основании соответствующих разрешений, выдаваемых Министерством внутренних дел Кыргызской Республики.</w:t>
      </w:r>
    </w:p>
    <w:p>
      <w:pPr>
        <w:spacing w:after="120"/>
        <w:jc w:val="both"/>
      </w:pPr>
      <w:r>
        <w:rPr>
          <w:rFonts w:ascii="Arial" w:cs="Arial" w:eastAsia="Arial" w:hAnsi="Arial"/>
          <w:sz w:val="24"/>
          <w:szCs w:val="24"/>
        </w:rPr>
        <w:t xml:space="preserve">5. Продажа, передача и приобретение оружия должны оформляться документами установленного образца, перечень, форма и порядок ведения которых определяются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2mo52b7pb5_wkaezr48t">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Из огнестрельного оружия с нарезным стволом, находящегося на вооружении государственных военизированных организаций, производится контрольный отстрел для формирования республиканской пулегильзотеки.</w:t>
      </w:r>
    </w:p>
    <w:p>
      <w:pPr>
        <w:spacing w:after="120"/>
        <w:jc w:val="both"/>
      </w:pPr>
      <w:r>
        <w:rPr>
          <w:rFonts w:ascii="Arial" w:cs="Arial" w:eastAsia="Arial" w:hAnsi="Arial"/>
          <w:sz w:val="24"/>
          <w:szCs w:val="24"/>
        </w:rPr>
        <w:t xml:space="preserve">7. Огнестрельное оружие с нарезным стволом приобретается государственными военизированными организациями у юридических лиц, имеющих право на производство, торговлю и ремонт оружия, после проведения ими контрольного отстрела.</w:t>
      </w:r>
    </w:p>
    <w:p>
      <w:pPr>
        <w:spacing w:after="120"/>
        <w:jc w:val="both"/>
      </w:pPr>
      <w:r>
        <w:rPr>
          <w:rFonts w:ascii="Arial" w:cs="Arial" w:eastAsia="Arial" w:hAnsi="Arial"/>
          <w:sz w:val="24"/>
          <w:szCs w:val="24"/>
        </w:rPr>
        <w:t xml:space="preserve">Без проведения контрольного отстрела разрешается приобретение огнестрельного оружия с нарезным стволом только у другой государственной военизированной организации.</w:t>
      </w:r>
    </w:p>
    <w:p>
      <w:pPr>
        <w:spacing w:after="120"/>
        <w:jc w:val="both"/>
      </w:pPr>
      <w:r>
        <w:rPr>
          <w:rFonts w:ascii="Arial" w:cs="Arial" w:eastAsia="Arial" w:hAnsi="Arial"/>
          <w:sz w:val="24"/>
          <w:szCs w:val="24"/>
        </w:rPr>
        <w:t xml:space="preserve">8. Контрольный отстрел из огнестрельного оружия с нарезным стволом производится также при проведении капитального ремонта этого оружия.</w:t>
      </w:r>
    </w:p>
    <w:p>
      <w:pPr>
        <w:spacing w:after="120"/>
        <w:jc w:val="both"/>
      </w:pPr>
      <w:r>
        <w:rPr>
          <w:rFonts w:ascii="Arial" w:cs="Arial" w:eastAsia="Arial" w:hAnsi="Arial"/>
          <w:sz w:val="24"/>
          <w:szCs w:val="24"/>
        </w:rPr>
        <w:t xml:space="preserve">По разрешению руководителей государственных военизированных организаций контрольный отстрел может быть произведен на других стадиях оборота оружия.</w:t>
      </w:r>
    </w:p>
    <w:p>
      <w:pPr>
        <w:spacing w:after="120"/>
        <w:jc w:val="both"/>
      </w:pPr>
      <w:r>
        <w:rPr>
          <w:rFonts w:ascii="Arial" w:cs="Arial" w:eastAsia="Arial" w:hAnsi="Arial"/>
          <w:sz w:val="24"/>
          <w:szCs w:val="24"/>
        </w:rPr>
        <w:t xml:space="preserve">9. Технические требования к контрольному отстрелу из огнестрельного оружия с нарезным стволом, его документальное оформление, правила учета, хранения и передачи пуль и гильз в республиканскую пулегильзотеку, а также порядок списания и уничтожения (утилизации) отработанных пуль и гильз определяются Министерством внутренних дел Кыргызской Республики по согласованию с государственными военизированными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Коллекционирование и экспонирование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Коллекционирование и экспонирование оружия имеют право осуществлять музеи, экспертные и специально созданные для этих целей учреждения государственных военизированных организаций.</w:t>
      </w:r>
    </w:p>
    <w:p>
      <w:pPr>
        <w:spacing w:after="120"/>
        <w:jc w:val="both"/>
      </w:pPr>
      <w:r>
        <w:rPr>
          <w:rFonts w:ascii="Arial" w:cs="Arial" w:eastAsia="Arial" w:hAnsi="Arial"/>
          <w:sz w:val="24"/>
          <w:szCs w:val="24"/>
        </w:rPr>
        <w:t xml:space="preserve">Коллекции оружия подлежат регистрации в государственных военизированных организациях и должны быть приведены в состояние, непригодное для производства выстрела.</w:t>
      </w:r>
    </w:p>
    <w:p>
      <w:pPr>
        <w:spacing w:after="120"/>
        <w:jc w:val="both"/>
      </w:pPr>
      <w:r>
        <w:rPr>
          <w:rFonts w:ascii="Arial" w:cs="Arial" w:eastAsia="Arial" w:hAnsi="Arial"/>
          <w:sz w:val="24"/>
          <w:szCs w:val="24"/>
        </w:rPr>
        <w:t xml:space="preserve">11. Государственные военизированные организации имеют право передавать, продавать для коллекционирования и экспонирования оружие, информация о котором не относится к сведениям, составляющим государственную тайну.</w:t>
      </w:r>
    </w:p>
    <w:p>
      <w:pPr>
        <w:spacing w:after="120"/>
        <w:jc w:val="both"/>
      </w:pPr>
      <w:r>
        <w:rPr>
          <w:rFonts w:ascii="Arial" w:cs="Arial" w:eastAsia="Arial" w:hAnsi="Arial"/>
          <w:sz w:val="24"/>
          <w:szCs w:val="24"/>
        </w:rPr>
        <w:t xml:space="preserve">В музеи, экспертные и специально созданные для этих целей учреждения Вооруженных Сил Кыргызской Республики, органов внутренних дел и Службы национальной безопасности Кыргызской Республики оружие может передаваться без охолощения или приведения в учебный вид, а юридическим лицам и гражданам, имеющим разрешение на коллекционирование и экспонирование, передается охолощенное или приведенное в учебный вид оружие.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хранение и ношение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Государственные военизированные организации и специальные службы обязаны вести учет оружия, который заключается в ведении документов установленного образца. Перечень этих документов, их форма и порядок ведения определяются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f4ap_v8yb7y7t-grfw0v">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Разрешение на право хранения и ношения наградного оружия выдается Министерством внутренних дел Кыргызской Республики.</w:t>
      </w:r>
    </w:p>
    <w:p>
      <w:pPr>
        <w:spacing w:after="120"/>
        <w:jc w:val="both"/>
      </w:pPr>
      <w:r>
        <w:rPr>
          <w:rFonts w:ascii="Arial" w:cs="Arial" w:eastAsia="Arial" w:hAnsi="Arial"/>
          <w:sz w:val="24"/>
          <w:szCs w:val="24"/>
        </w:rPr>
        <w:t xml:space="preserve">При перемене места жительства лица, награжденные оружием, должны обратиться с заявлением в Министерство внутренних дел Кыргызской Республики с указанием нового места жительства.</w:t>
      </w:r>
    </w:p>
    <w:p>
      <w:pPr>
        <w:spacing w:after="120"/>
        <w:jc w:val="both"/>
      </w:pPr>
      <w:r>
        <w:rPr>
          <w:rFonts w:ascii="Arial" w:cs="Arial" w:eastAsia="Arial" w:hAnsi="Arial"/>
          <w:sz w:val="24"/>
          <w:szCs w:val="24"/>
        </w:rPr>
        <w:t xml:space="preserve">14. Военнослужащие и сотрудники государственных военизированных организаций, получившие в установленном порядке наградное оружие, обязаны обеспечить надлежащие условия его хранения. Органы внутренних дел по месту жительства сотрудников государственных военизированных организаций имеют право проверять условия хранения зарегистрированного ими оружия.</w:t>
      </w:r>
    </w:p>
    <w:p>
      <w:pPr>
        <w:spacing w:after="120"/>
        <w:jc w:val="both"/>
      </w:pPr>
      <w:r>
        <w:rPr>
          <w:rFonts w:ascii="Arial" w:cs="Arial" w:eastAsia="Arial" w:hAnsi="Arial"/>
          <w:sz w:val="24"/>
          <w:szCs w:val="24"/>
        </w:rPr>
        <w:t xml:space="preserve">15. В случае утраты наградного оружия военнослужащие и сотрудники государственных военизированных организаций обязаны незамедлительно заявить об этом в органы внутренних дел.</w:t>
      </w:r>
    </w:p>
    <w:p>
      <w:pPr>
        <w:spacing w:after="120"/>
        <w:jc w:val="both"/>
      </w:pPr>
      <w:r>
        <w:rPr>
          <w:rFonts w:ascii="Arial" w:cs="Arial" w:eastAsia="Arial" w:hAnsi="Arial"/>
          <w:sz w:val="24"/>
          <w:szCs w:val="24"/>
        </w:rPr>
        <w:t xml:space="preserve">16. Хранение оружия в государственных военизированных организациях и специальных службах должно осуществляться только в специально оборудованных для этих целей помещениях. Помещения для хранения оружия оборудуются техническими средствами охраны и пожарной безопасности.</w:t>
      </w:r>
    </w:p>
    <w:p>
      <w:pPr>
        <w:spacing w:after="120"/>
        <w:jc w:val="both"/>
      </w:pPr>
      <w:r>
        <w:rPr>
          <w:rFonts w:ascii="Arial" w:cs="Arial" w:eastAsia="Arial" w:hAnsi="Arial"/>
          <w:sz w:val="24"/>
          <w:szCs w:val="24"/>
        </w:rPr>
        <w:t xml:space="preserve">Требования к хранению оружия, в зависимости от его предназначения,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zmt3s6atdevdzbjdymyl">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 всех случаях утраты, порчи или выхода из строя оружия военнослужащие и сотрудники государственных военизированных организаций обязаны докладывать своим непосредственным (прямым) начальникам, которые в свою очередь информируют органы внутренних дел, а в необходимых случаях - территориальные органы национальной безопасности Кыргызской Республики и органы прокуратуры об обстоятельствах утраты оружия с указанием модели, калибра, серии, номера, года выпуска каждой единицы, организуют дознание или расследование и принимают меры по розыску похищенного или утраченного оружия.</w:t>
      </w:r>
    </w:p>
    <w:p>
      <w:pPr>
        <w:spacing w:after="120"/>
        <w:jc w:val="both"/>
      </w:pPr>
      <w:r>
        <w:rPr>
          <w:rFonts w:ascii="Arial" w:cs="Arial" w:eastAsia="Arial" w:hAnsi="Arial"/>
          <w:sz w:val="24"/>
          <w:szCs w:val="24"/>
        </w:rPr>
        <w:t xml:space="preserve">18. Утраченное оружие списывается с учета государственных военизированных организаций и специальных служб в порядке, установленном нормативными правовыми актами Кыргызской Республики, после получения справки в Информационном центре Министерства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xmobdir1bgrfq3xlvbnp">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 случае возвращения утраченного оружия в воинскую часть или подразделение государственной военизированной организации их руководители в течение 3 дней обязаны доложить об этом своему непосредственному (прямому) руководителю, а также сообщить государственным органам, осуществляющим разбирательство по факту хищения или утраты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Перевозка и транспортирование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Перевозка и транспортирование оружия воздушным, железнодорожным, водным, автомобильным и другими видами транспорта производится под вооруженной охраной с оформлением соответствующих документов установленного образца, форма и порядок которых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_ggkcf1o8q30emz1irmr">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Оружие при перевозке и транспортировании должно находиться в разряженном состоянии отдельно от боеприпасов. Оружие и боеприпасы должны быть упакованы в специальную тару, которая опечатывается или опломбируется.</w:t>
      </w:r>
    </w:p>
    <w:p>
      <w:pPr>
        <w:spacing w:after="120"/>
        <w:jc w:val="both"/>
      </w:pPr>
      <w:r>
        <w:rPr>
          <w:rFonts w:ascii="Arial" w:cs="Arial" w:eastAsia="Arial" w:hAnsi="Arial"/>
          <w:sz w:val="24"/>
          <w:szCs w:val="24"/>
        </w:rPr>
        <w:t xml:space="preserve">22. В случае обнаружения признаков вскрытия транспортного средства, перевозящего оружие, повреждения тары, нарушения оттисков печатей или пломб старший вооруженной охраны обязан немедленно сообщить об этом военному коменданту железнодорожного (водного) участка или станции, начальнику станции, органам внутренних дел на транспорте, составить акт, принять необходимые меры по устранению причин случившегося и обеспечить охрану места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Изъятие и уничтожение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Изъятие оружия у военнослужащих и сотрудников государственных военизированных организаций и специальных служб может производиться представителями соответствующих организаций, уполномоченными осуществлять контроль за оборотом оружия,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24. Оружие, снятое с вооружения, а также пришедшее в негодность, подлежит списанию с оформлением соответствующего акта. Акт о списании оружия составляется комиссией, состав которой определяется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rih9k8n-tnwa4yxw-9vp">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Списанное оружие подлежит утилизации и уничтожению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mvhjzjcwfjpvbllb0ir7">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Производство, ремонт оружия и боеприпасов</w:t>
      </w:r>
    </w:p>
    <w:p>
      <w:pPr>
        <w:spacing w:after="200"/>
        <w:jc w:val="center"/>
      </w:pPr>
      <w:r>
        <w:rPr>
          <w:rFonts w:ascii="Arial" w:cs="Arial" w:eastAsia="Arial" w:hAnsi="Arial"/>
          <w:i/>
          <w:iCs/>
          <w:sz w:val="24"/>
          <w:szCs w:val="24"/>
        </w:rPr>
        <w:t xml:space="preserve">(Глава в редакциипостановления Кабинета Министров КР от </w:t>
      </w:r>
      <w:hyperlink w:history="1" r:id="rIdb098vsujjhz4gp7_qpkgc">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Снаряжение боеприпасов в государственных военизированных организациях и специальных службах может осуществляться в рамках обеспечения собственных нужд, в целях качественного и бесперебойного снабжения боеприпасами подразделений, на основании соответствующего внутриведомственного акта, регулирующего порядок снаряжения боеприпасов.</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rkqfl8wqxg1485mdeixk9">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Государственные военизированные организации и специальные службы могут приобретать и использовать оборудование, предназначенное для обслуживания и ремонта оружия и приборов, измерения параметров оружия и боеприпасов, запасные части, механизмы и другие необходимые материалы для ремонта, обслуживания и модернизации стрелкового оружия, приобретать оборудование для снаряжения патронов, а также комплектующие для снаряжения патронов (гильза, порох, капсюль).</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xwx2wld0qpmc9ugqinzgc">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25-3. Ремонт и модернизация боевого ручного оружия, а также сборка патронов из составных частей боеприпасов может осуществляться в государственных военизированных организациях и специальных службах, а также организациях, имеющих соответствующую лицензию, установленную </w:t>
      </w:r>
      <w:hyperlink w:history="1" r:id="rIdllm9zsb-f4ptkozubzef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74dohouwa7bc2yvj2orfs">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Вывоз из Кыргызской Республики и ввоз на территорию Кыргызской Республики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Вывоз из Кыргызской Республики и ввоз на территорию Кыргызской Республики оружия военнослужащими и сотрудниками государственных военизированных организаций для выполнения служебных обязанностей осуществляется на основании документа, подтверждающего право ношения оружия и командировочного удостоверения, в котором указывается вывозимое (ввозимое) оружие. Указанный документ вместе с копией командировочного удостоверения предъявляется в таможенный орган, расположенный в пункте пропуска через государственную границу Кыргызской Республики. Копия командировочного удостоверения после ее сверки с подлинником заверяется сотрудником таможенного органа путем проставления номерной печати и остается в деле таможенного органа, осуществляющего таможенное оформление вывозимого (ввозимого) оружия.</w:t>
      </w:r>
    </w:p>
    <w:p>
      <w:pPr>
        <w:spacing w:after="120"/>
        <w:jc w:val="both"/>
      </w:pPr>
      <w:r>
        <w:rPr>
          <w:rFonts w:ascii="Arial" w:cs="Arial" w:eastAsia="Arial" w:hAnsi="Arial"/>
          <w:sz w:val="24"/>
          <w:szCs w:val="24"/>
        </w:rPr>
        <w:t xml:space="preserve">27. Ввоз на территорию Кыргызской Республики и вывоз из Кыргызской Республики оружия сотрудниками иностранных военизированных организаций и спецслужб, прибывающими в Кыргызскую Республику по приглашению или в связи со служебной необходимостью, производятся по разрешению Министерства внутренних дел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 сопровождающих глав иностранных государств и глав правительств иностранных государств, иных иностранных государственных, политических, а также общественных деятелей, подлежащих государственной охране, в период их пребывания на территории Кыргызской Республики, а также лицами, прибывающими в Кыргызскую Республику по приглашению органа государственной охраны в связи со служебной необходимостью, производится по разрешению органа государственной охраны.</w:t>
      </w:r>
    </w:p>
    <w:p>
      <w:pPr>
        <w:spacing w:after="120"/>
        <w:jc w:val="both"/>
      </w:pPr>
      <w:r>
        <w:rPr>
          <w:rFonts w:ascii="Arial" w:cs="Arial" w:eastAsia="Arial" w:hAnsi="Arial"/>
          <w:sz w:val="24"/>
          <w:szCs w:val="24"/>
        </w:rPr>
        <w:t xml:space="preserve">В разрешении указываются фамилия, имя, отчество сотрудников иностранных военизированных организаций и специальных служб, тип (марка), номер и калибр оружия, количество боеприпасов к каждой ввозимой единице оружия. Разрешение подписывается руководителем соответствующей службы Министерства внутренних дел Кыргызской Республики, руководителем </w:t>
      </w:r>
      <w:r>
        <w:rPr>
          <w:rFonts w:ascii="Arial" w:cs="Arial" w:eastAsia="Arial" w:hAnsi="Arial"/>
          <w:sz w:val="24"/>
          <w:szCs w:val="24"/>
        </w:rPr>
        <w:t xml:space="preserve">органа государственной охраны</w:t>
      </w:r>
      <w:r>
        <w:rPr>
          <w:rFonts w:ascii="Arial" w:cs="Arial" w:eastAsia="Arial" w:hAnsi="Arial"/>
          <w:sz w:val="24"/>
          <w:szCs w:val="24"/>
        </w:rPr>
        <w:t xml:space="preserve"> либо лицом, его замещающим. Разрешение и его копия предъявляются представителем принимающей стороны в таможенный и пограничный органы, расположенные в пункте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Разрешение и его копия после их сверки заверяются сотрудником таможенного органа путем проставления номерной печати. Копия остается в деле таможенного органа, осуществляющего таможенное оформление ввозимого оружия. При вывозе оружия оригинал разрешения, заверенный таможенным органом при ввозе оружия в Кыргызскую Республику, предъявляется в таможенный и пограничный органы, расположенные в пункте пропуска через государственную границу Кыргызской Республики, и остается в таможенном органе.</w:t>
      </w:r>
    </w:p>
    <w:p>
      <w:pPr>
        <w:spacing w:after="120"/>
        <w:jc w:val="both"/>
      </w:pPr>
      <w:r>
        <w:rPr>
          <w:rFonts w:ascii="Arial" w:cs="Arial" w:eastAsia="Arial" w:hAnsi="Arial"/>
          <w:sz w:val="24"/>
          <w:szCs w:val="24"/>
        </w:rPr>
        <w:t xml:space="preserve">Контроль за порядком хранения, ношения и использования на территории Кыргызской Республики ввезенного оружия осуществляется соответствующей государственной военизированной организацией.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_nvadb3qowzusrc_up88d">
        <w:r>
          <w:rPr>
            <w:rFonts w:ascii="Arial" w:cs="Arial" w:eastAsia="Arial" w:hAnsi="Arial"/>
            <w:color w:val="1D4ED8"/>
            <w:sz w:val="24"/>
            <w:szCs w:val="24"/>
            <w:u w:val="single"/>
          </w:rPr>
          <w:t xml:space="preserve">2 апреля 2010 года № 204</w:t>
        </w:r>
      </w:hyperlink>
      <w:r>
        <w:rPr>
          <w:rFonts w:ascii="Arial" w:cs="Arial" w:eastAsia="Arial" w:hAnsi="Arial"/>
          <w:sz w:val="24"/>
          <w:szCs w:val="24"/>
        </w:rPr>
        <w:t xml:space="preserve">, </w:t>
      </w:r>
      <w:hyperlink w:history="1" r:id="rIdcbuefn0aivye-kggnxua1">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 </w:t>
      </w:r>
      <w:hyperlink w:history="1" r:id="rIdmwbn9rawcnl_jnvlwj7cd">
        <w:r>
          <w:rPr>
            <w:rFonts w:ascii="Arial" w:cs="Arial" w:eastAsia="Arial" w:hAnsi="Arial"/>
            <w:color w:val="1D4ED8"/>
            <w:sz w:val="24"/>
            <w:szCs w:val="24"/>
            <w:u w:val="single"/>
          </w:rPr>
          <w:t xml:space="preserve">6 июня 2026 года № 400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28. Экспорт и импорт оружия государственными военизированными организациями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за оборотом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Контроль за оборотом оружия в государственных военизированных организациях осуществляется должностными лицами государственных военизированных организаций в пределах их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vsiryhfmnlj_d32somk" Type="http://schemas.openxmlformats.org/officeDocument/2006/relationships/hyperlink" Target="http://kodeks.duckdns.org/document/57918" TargetMode="External"/><Relationship Id="rIdp-hqaa12j5cva-ckd_yrn" Type="http://schemas.openxmlformats.org/officeDocument/2006/relationships/hyperlink" Target="http://kodeks.duckdns.org/document/58516" TargetMode="External"/><Relationship Id="rIdo6j4gz2ac-0xh6_hdgjzu" Type="http://schemas.openxmlformats.org/officeDocument/2006/relationships/hyperlink" Target="http://kodeks.duckdns.org/document/59438" TargetMode="External"/><Relationship Id="rIdarq6qhd_ffzr73gsnqvyi" Type="http://schemas.openxmlformats.org/officeDocument/2006/relationships/hyperlink" Target="http://kodeks.duckdns.org/document/92008" TargetMode="External"/><Relationship Id="rIdaj6tttdoszszwi-ldwxei" Type="http://schemas.openxmlformats.org/officeDocument/2006/relationships/hyperlink" Target="http://kodeks.duckdns.org/document/33467" TargetMode="External"/><Relationship Id="rIdeyjjqtif1u90x4dde0pfb" Type="http://schemas.openxmlformats.org/officeDocument/2006/relationships/hyperlink" Target="http://kodeks.duckdns.org/document/95180" TargetMode="External"/><Relationship Id="rIdotdibbtupmmqvhmntjeg7" Type="http://schemas.openxmlformats.org/officeDocument/2006/relationships/hyperlink" Target="http://kodeks.duckdns.org/document/93340" TargetMode="External"/><Relationship Id="rIdjftukzy50dybsgit7mx6r" Type="http://schemas.openxmlformats.org/officeDocument/2006/relationships/hyperlink" Target="http://kodeks.duckdns.org/document/94173" TargetMode="External"/><Relationship Id="rIdmxvjcyjgnpp1h9shiuuuh" Type="http://schemas.openxmlformats.org/officeDocument/2006/relationships/hyperlink" Target="http://kodeks.duckdns.org/document/94495" TargetMode="External"/><Relationship Id="rIdh1ssrcdbv-e6zvleswpk-" Type="http://schemas.openxmlformats.org/officeDocument/2006/relationships/hyperlink" Target="http://kodeks.duckdns.org/document/96069" TargetMode="External"/><Relationship Id="rIdhqq95zkcdclktlzuyln4p" Type="http://schemas.openxmlformats.org/officeDocument/2006/relationships/hyperlink" Target="http://kodeks.duckdns.org/document/97329" TargetMode="External"/><Relationship Id="rIdgm9yt7yfdoywarotuu00-" Type="http://schemas.openxmlformats.org/officeDocument/2006/relationships/hyperlink" Target="http://kodeks.duckdns.org/document/99775" TargetMode="External"/><Relationship Id="rIdvvyoilyehecixszx4rsnj" Type="http://schemas.openxmlformats.org/officeDocument/2006/relationships/hyperlink" Target="http://kodeks.duckdns.org/document/230003575" TargetMode="External"/><Relationship Id="rIdkie4gcqejl-vqv6fm-qdt" Type="http://schemas.openxmlformats.org/officeDocument/2006/relationships/hyperlink" Target="http://kodeks.duckdns.org/document/230047009" TargetMode="External"/><Relationship Id="rId2tuhakfbspnoh_9bzrlwc" Type="http://schemas.openxmlformats.org/officeDocument/2006/relationships/hyperlink" Target="http://kodeks.duckdns.org/document/58516" TargetMode="External"/><Relationship Id="rId3lyyibfg1uz_bo_dgeeef" Type="http://schemas.openxmlformats.org/officeDocument/2006/relationships/hyperlink" Target="http://kodeks.duckdns.org/document/59438" TargetMode="External"/><Relationship Id="rIdtc03nkd1x3gdazyfr624s" Type="http://schemas.openxmlformats.org/officeDocument/2006/relationships/hyperlink" Target="http://kodeks.duckdns.org/document/92008" TargetMode="External"/><Relationship Id="rIdperzk8qzttzhp5sxqw-ip" Type="http://schemas.openxmlformats.org/officeDocument/2006/relationships/hyperlink" Target="http://kodeks.duckdns.org/document/95180" TargetMode="External"/><Relationship Id="rIdbqj1eesxdb-cqvfgw_nnv" Type="http://schemas.openxmlformats.org/officeDocument/2006/relationships/hyperlink" Target="http://kodeks.duckdns.org/document/94173" TargetMode="External"/><Relationship Id="rIdidqpmryhpfr-iweh6iwie" Type="http://schemas.openxmlformats.org/officeDocument/2006/relationships/hyperlink" Target="http://kodeks.duckdns.org/document/94495" TargetMode="External"/><Relationship Id="rIdto3i0dkjurzzm7nvkd4yy" Type="http://schemas.openxmlformats.org/officeDocument/2006/relationships/hyperlink" Target="http://kodeks.duckdns.org/document/96069" TargetMode="External"/><Relationship Id="rIdyz2cwcobu7vznr8hmu6z_" Type="http://schemas.openxmlformats.org/officeDocument/2006/relationships/hyperlink" Target="http://kodeks.duckdns.org/document/99775" TargetMode="External"/><Relationship Id="rIdmml59mowirtvutv0caolf" Type="http://schemas.openxmlformats.org/officeDocument/2006/relationships/hyperlink" Target="http://kodeks.duckdns.org/document/230003575" TargetMode="External"/><Relationship Id="rIdyxak74auqbmyiqegbtjn5" Type="http://schemas.openxmlformats.org/officeDocument/2006/relationships/hyperlink" Target="http://kodeks.duckdns.org/document/230047009" TargetMode="External"/><Relationship Id="rIdfcksrngbzuuevydzxxqce" Type="http://schemas.openxmlformats.org/officeDocument/2006/relationships/hyperlink" Target="http://kodeks.duckdns.org/document/97329" TargetMode="External"/><Relationship Id="rIdnlvgpsw0iic4pny2epk5c" Type="http://schemas.openxmlformats.org/officeDocument/2006/relationships/hyperlink" Target="http://kodeks.duckdns.org/document/230003575" TargetMode="External"/><Relationship Id="rId5zvwal1rxyyh3ee5wog0z" Type="http://schemas.openxmlformats.org/officeDocument/2006/relationships/hyperlink" Target="http://kodeks.duckdns.org/document/97329" TargetMode="External"/><Relationship Id="rIddafkztb33eiembdhidnwb" Type="http://schemas.openxmlformats.org/officeDocument/2006/relationships/hyperlink" Target="http://kodeks.duckdns.org/document/230003575" TargetMode="External"/><Relationship Id="rIdacyhj1fsh7jq7jqxbevni" Type="http://schemas.openxmlformats.org/officeDocument/2006/relationships/hyperlink" Target="http://kodeks.duckdns.org/document/93340" TargetMode="External"/><Relationship Id="rIdchvwbjpdq0qnn4dgcjpwl" Type="http://schemas.openxmlformats.org/officeDocument/2006/relationships/hyperlink" Target="http://kodeks.duckdns.org/document/230003575" TargetMode="External"/><Relationship Id="rId82mo52b7pb5_wkaezr48t" Type="http://schemas.openxmlformats.org/officeDocument/2006/relationships/hyperlink" Target="http://kodeks.duckdns.org/document/94495" TargetMode="External"/><Relationship Id="rId8f4ap_v8yb7y7t-grfw0v" Type="http://schemas.openxmlformats.org/officeDocument/2006/relationships/hyperlink" Target="http://kodeks.duckdns.org/document/94495" TargetMode="External"/><Relationship Id="rIdvzmt3s6atdevdzbjdymyl" Type="http://schemas.openxmlformats.org/officeDocument/2006/relationships/hyperlink" Target="http://kodeks.duckdns.org/document/94495" TargetMode="External"/><Relationship Id="rIdfxmobdir1bgrfq3xlvbnp" Type="http://schemas.openxmlformats.org/officeDocument/2006/relationships/hyperlink" Target="http://kodeks.duckdns.org/document/94495" TargetMode="External"/><Relationship Id="rIdu_ggkcf1o8q30emz1irmr" Type="http://schemas.openxmlformats.org/officeDocument/2006/relationships/hyperlink" Target="http://kodeks.duckdns.org/document/94495" TargetMode="External"/><Relationship Id="rIdurih9k8n-tnwa4yxw-9vp" Type="http://schemas.openxmlformats.org/officeDocument/2006/relationships/hyperlink" Target="http://kodeks.duckdns.org/document/94495" TargetMode="External"/><Relationship Id="rIdemvhjzjcwfjpvbllb0ir7" Type="http://schemas.openxmlformats.org/officeDocument/2006/relationships/hyperlink" Target="http://kodeks.duckdns.org/document/94495" TargetMode="External"/><Relationship Id="rIdb098vsujjhz4gp7_qpkgc" Type="http://schemas.openxmlformats.org/officeDocument/2006/relationships/hyperlink" Target="http://kodeks.duckdns.org/document/230003575" TargetMode="External"/><Relationship Id="rIdrkqfl8wqxg1485mdeixk9" Type="http://schemas.openxmlformats.org/officeDocument/2006/relationships/hyperlink" Target="http://kodeks.duckdns.org/document/230003575" TargetMode="External"/><Relationship Id="rIdxwx2wld0qpmc9ugqinzgc" Type="http://schemas.openxmlformats.org/officeDocument/2006/relationships/hyperlink" Target="http://kodeks.duckdns.org/document/230003575" TargetMode="External"/><Relationship Id="rIdllm9zsb-f4ptkozubzef8" Type="http://schemas.openxmlformats.org/officeDocument/2006/relationships/hyperlink" Target="http://kodeks.duckdns.org/document/205058" TargetMode="External"/><Relationship Id="rId74dohouwa7bc2yvj2orfs" Type="http://schemas.openxmlformats.org/officeDocument/2006/relationships/hyperlink" Target="http://kodeks.duckdns.org/document/230003575" TargetMode="External"/><Relationship Id="rId_nvadb3qowzusrc_up88d" Type="http://schemas.openxmlformats.org/officeDocument/2006/relationships/hyperlink" Target="http://kodeks.duckdns.org/document/33467" TargetMode="External"/><Relationship Id="rIdcbuefn0aivye-kggnxua1" Type="http://schemas.openxmlformats.org/officeDocument/2006/relationships/hyperlink" Target="http://kodeks.duckdns.org/document/94495" TargetMode="External"/><Relationship Id="rIdmwbn9rawcnl_jnvlwj7cd" Type="http://schemas.openxmlformats.org/officeDocument/2006/relationships/hyperlink" Target="http://kodeks.duckdns.org/document/230047009"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2026-09-23T01:22:29.166Z</dcterms:created>
  <dcterms:modified xsi:type="dcterms:W3CDTF">2026-09-23T01:22:29.166Z</dcterms:modified>
</cp:coreProperties>
</file>

<file path=docProps/custom.xml><?xml version="1.0" encoding="utf-8"?>
<Properties xmlns="http://schemas.openxmlformats.org/officeDocument/2006/custom-properties" xmlns:vt="http://schemas.openxmlformats.org/officeDocument/2006/docPropsVTypes"/>
</file>