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bax-s5w9l4q-qnpyoga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декабря 2006 года № 858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Кыргызской Республики от 11 апреля 2001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Национальном центре онкологии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здравоохранения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нормативных правовых актов,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научно-исследовательских организаций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а также проведения открытых выборов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 учреждений на принципах коллегиальности,  прозрачности и 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  в   </w:t>
      </w:r>
      <w:r>
        <w:rPr>
          <w:rFonts w:ascii="Arial" w:cs="Arial" w:eastAsia="Arial" w:hAnsi="Arial"/>
          <w:sz w:val="20"/>
          <w:szCs w:val="20"/>
        </w:rPr>
        <w:t xml:space="preserve">Устав</w:t>
      </w:r>
      <w:r>
        <w:rPr>
          <w:rFonts w:ascii="Arial" w:cs="Arial" w:eastAsia="Arial" w:hAnsi="Arial"/>
          <w:sz w:val="20"/>
          <w:szCs w:val="20"/>
        </w:rPr>
        <w:t xml:space="preserve">  Национального   центра   онкологии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здравоохранения   Кыргызской    Республики, утвержденный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  Кыргызской Республики от  11 апреля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 № 165  "О Национальном   центре   онкологии   при Министерстве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r>
        <w:rPr>
          <w:rFonts w:ascii="Arial" w:cs="Arial" w:eastAsia="Arial" w:hAnsi="Arial"/>
          <w:sz w:val="20"/>
          <w:szCs w:val="20"/>
        </w:rPr>
        <w:t xml:space="preserve">разделе V</w:t>
      </w:r>
      <w:r>
        <w:rPr>
          <w:rFonts w:ascii="Arial" w:cs="Arial" w:eastAsia="Arial" w:hAnsi="Arial"/>
          <w:sz w:val="20"/>
          <w:szCs w:val="20"/>
        </w:rPr>
        <w:t xml:space="preserve"> "Управление центром":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 16</w:t>
      </w:r>
      <w:r>
        <w:rPr>
          <w:rFonts w:ascii="Arial" w:cs="Arial" w:eastAsia="Arial" w:hAnsi="Arial"/>
          <w:sz w:val="20"/>
          <w:szCs w:val="20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"16. Руководитель Центра избирается расширенным ученым  советом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Положением  о порядке проведения выборов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учреждений Кыргызской  Республики,  утвержденным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науки и культуры Кыргызской Республики от 23 июня 1997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Наблюдение за  процедурой  выборов  осуществляется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ax-s5w9l4q-qnpyoga5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2026-09-23T02:37:03.296Z</dcterms:created>
  <dcterms:modified xsi:type="dcterms:W3CDTF">2026-09-23T02:37:03.296Z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