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 Утверждена                                           </w:t>
      </w:r>
      <w:hyperlink w:history="1" r:id="rIdpwwudpvp7km2loqmpeno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19 июня 2007 года № 230                        ГОСУДАРСТВЕННАЯ ПРОГРАММА              сохранения, возрождения и развития народных           художественных промыслов в Кыргызской Республике                           на 2007-2010 годы                      I. Обоснование необходимости принятия                       Государственной программы      Государственная программа  сохранения,  возрождения и развития на-родных художественных промыслов в Кыргызской  Республике  на  2007-2010годы  (далее - Программа) разработана на основании принятой резолюции Iсъезда ремесленников Кыргызстана,  состоявшегося 10 июня 2006 года, и всоответствии с </w:t>
      </w:r>
      <w:hyperlink w:history="1" r:id="rIdy_7eicre8s6k68naakmu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возрождении, развитии исохранении народного художественного промысла".     Анализ состояния народных художественных промыслов Кыргызской Рес-публики позволил выявить следующие характерные для организаций и  инди-видуальных мастеров проблемы:     - недостаточное финансовое обеспечение и нестабильность производс-тва;     - отсутствие экономической концепции развития  народных  художест-венных промыслов;     - недостаточный технологический потенциал и сокращение  материаль-ной базы для развития производства,  отсутствие необходимого оборудова-ния, сырья и материалов;     - неразвитая маркетинговая деятельность и сокращение сбыта продук-ции народных художественных промыслов;     - недостаточный уровень подготовки кадров;     - распад творческих коллективов;     - отсутствие  единой системы,  объединяющей производителей изделийнародных художественных промыслов,  художников,  организации торговли иучебные заведения, готовящие специалистов в данной сфере;     - накопление на рынке продукции низкого художественного  уровня  иподделок.     Перечисленные проблемы свидетельствуют о том,  что в среднесрочнойперспективе государственная политика в этой области должна быть направ-лена:     - на  сохранение  и укрепление организаций народных художественныхпромыслов;     - на проведение адресной работы, способствующей созданию объедине-ний и творческих союзов среди мастеров и организаций народных художест-венных промыслов.     Анализ факторов,  влияющих на сохранение,  возрождение и  развитиенародных художественных промыслов, показывает, что существующие пробле-мы можно решить объединенными усилиями и согласованными действиями  са-мих  мастеров и организаций народных художественных промыслов,  органовгосударственной власти и местного самоуправления.     Вместе с  тем  во  многом этот процесс определяется эффективностьюгосударственной поддержки,  способной создать благоприятные условия дляустойчивого развития народных художественных промыслов.     Разработанная Программа закладывает основы комплексного подхода  коказанию  государственной поддержки сохранения,  возрождения и развитиянародных художественных промыслов и направлена на повышение уровня  на-циональной культуры, сохранение ее индивидуальности и самобытности, по-вышение качества и конкурентоспособности продукции мастеров и организа-ций народных художественных промыслов.  Это,  в свою очередь,  позволитувеличить объем реализации продукции народных художественных  промыслови создать дополнительные рабочие места в данной отрасли.                       II. Цели и задачи Программы      Целями настоящей Программы являются сохранение, возрождение и раз-витие народных художественных промыслов.     Задачами Программы являются:     - совершенствование форм государственной поддержки народного твор-чества,  деятельности  по созданию изделий народных художественных про-мыслов;     - создание  условий  для развития творческой и предпринимательскойинициативы в сфере деятельности мастеров и организаций  народных  худо-жественных промыслов;     - содействие пропаганде искусства народных художественных  промыс-лов в Кыргызской Республике и за ее пределами;     - объединение усилий органов государственной власти и местного са-моуправления, мастеров и организаций народных художественных промыслов,а также общественных организаций в области  сохранения,  возрождения  иразвития народных художественных промыслов.              III. План мероприятий по реализации Программы      Для решения задач, предусмотренных Программой, разработан </w:t>
      </w:r>
      <w:hyperlink w:history="1" r:id="rIdca9x-h4wezvujfse-kk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</w:t>
        </w:r>
      </w:hyperlink>
      <w:r>
        <w:rPr>
          <w:rFonts w:ascii="Arial" w:cs="Arial" w:eastAsia="Arial" w:hAnsi="Arial"/>
          <w:sz w:val="24"/>
          <w:szCs w:val="24"/>
        </w:rPr>
        <w:t xml:space="preserve"> ме-роприятий, реализация которого позволит:     - укрепить  нормативную правовую базу поддержки народных художест-венных промыслов;     - создать  в республике единую систему,  объединяющую мастеров на-родных художественных промыслов;     - выявить новые изделия народных художественных промыслов;     - повысить качество и конкурентоспособность изделий народных худо-жественных промыслов;     - создать благоприятную среду для реализации и развития потенциаламастеров и организаций народных художественных промыслов;     - обеспечить проведение целенаправленной и скоординированной рабо-ты  средств  массовой  информации  в области популяризации национальнойкультуры,  формирования положительного общественного мнения,  активногововлечения  населения в предпринимательскую деятельность в сфере народ-ных художественных промыслов;     - воспитать  подрастающее  поколение  на основе изучения истории итрадиционной народной культуры,  сохранения преемственности в сфере на-родных художественных промыслов;     - повысить образовательный уровень кадров для  народных  художест-венных промыслов;     - создать условия для повышения качества и разнообразия изготавли-ваемых изделий народных художественных промыслов;     - расширить рынок сбыта изделий народных художественных промыслов.                   IV. Ресурсное обеспечение Программы      Финансирование Программы планируется осуществлять за счет  средствреспубликанского  бюджета Кыргызской Республики и внебюджетных источни-ков.     Общий объем  финансирования Программы на 2008-2010 годы из средствреспубликанского бюджета Кыргызской Республики составляет  143,62  млн.сомов.     В ходе реализации Программы объемы финансирования подлежат ежегод-ному  уточнению с учетом реальных возможностей республиканского бюджетаКыргызской Республики.               V. Механизм реализации Программы и контроль                        за ходом ее выполнения      Механизм реализации Программы представляет собой скоординированныепо срокам и направлениям действия исполнителей с учетом имеющихся соци-ально-экономических условий. В зависимости от изменения задач на разнойстадии исполнения отдельные мероприятия Программы могут  быть  замененыдругими, в большей степени отвечающими задачам конкретного периода. Длявыполнения мероприятий Программы предусматривается использование средс-тв республиканского бюджета Кыргызской Республики и внебюджетных источ-ников.     Министерство экономического развития и торговли Кыргызской Респуб-лики - уполномоченный государственный орган  по  развитию  предпринима-тельства  совместно  с "Союзом народно-художественных промыслов и реме-сел" (далее - СНХПиР):     - осуществляет  мониторинг выполнения Программы и контролирует вы-полнение намеченных мероприятий;     - ежегодно формирует бюджетную заявку на выделение денежных средс-тв из республиканского бюджета Кыргызской Республики и в  установленномпорядке представляет ее в Министерство финансов Кыргызской Республики.     Министерства, госкомитеты, административные ведомства, иные органыисполнительной  власти,  местные государственные администрации,  органыместного самоуправления Кыргызской Республики и СНХПиР  (по  согласова-нию)  ежегодно  по  2011 год представляют в Министерство экономическогоразвития и торговли Кыргызской Республики информацию о ходе  выполненияПрограммы за истекший год до 20 февраля следующего года.     Министерство экономического развития и торговли Кыргызской Респуб-лики сводит полученную информацию и до 10 марта того же года направляетв Правительство Кыргызской Республики отчет о ходе выполнения  Програм-мы.           VI. Оценка эффективности и социально-экономических                    последствий реализации Программы      Эффективность Программы определяется соотношением позитивных изме-нений,  произошедших  в сфере производства народных художественных про-мыслов и социальной сфере,  в результате выполненных мероприятий и зат-рат на реализацию этих мероприятий.     Реализация Программы направлена на увеличение:     - количества  субъектов,  занятых  в сфере народных художественныхпромыслов, на 10 процентов;     - объемов  реализации изделий народных художественных промыслов на12 процентов;     - номенклатуры  выпускаемой продукции народных художественных про-мыслов на 12 процентов;     - числа  участников общественных объединений народных художествен-ных промыслов на 16 процентов.     Реализация Программы  имеет большое значение для духовного и куль-турного развития народа Кыргызстана  и  создания  благоприятной  среды,способствующей появлению плеяды талантливых мастеров.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mjyan769zpepgxzsdez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dalil.kg/document/58360</w:t>
      </w:r>
    </w:hyperlink>
  </w:p>
  <w:p>
    <w:pPr>
      <w:spacing w:after="0" w:before="40"/>
      <w:jc w:val="center"/>
    </w:pPr>
    <w:hyperlink w:history="1" r:id="rIdnotqpozqshaswat1mab1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wudpvp7km2loqmpenod" Type="http://schemas.openxmlformats.org/officeDocument/2006/relationships/hyperlink" Target="https://dalil.kg/document/58347" TargetMode="External"/><Relationship Id="rIdy_7eicre8s6k68naakmu1" Type="http://schemas.openxmlformats.org/officeDocument/2006/relationships/hyperlink" Target="https://dalil.kg/document/1867" TargetMode="External"/><Relationship Id="rIdca9x-h4wezvujfse-kk6p" Type="http://schemas.openxmlformats.org/officeDocument/2006/relationships/hyperlink" Target="https://dalil.kg/document/58347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mjyan769zpepgxzsdezi" Type="http://schemas.openxmlformats.org/officeDocument/2006/relationships/hyperlink" Target="https://dalil.kg/document/58360" TargetMode="External"/><Relationship Id="rIdnotqpozqshaswat1mab1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2026-09-23T15:27:45.745Z</dcterms:created>
  <dcterms:modified xsi:type="dcterms:W3CDTF">2026-09-23T15:27:45.745Z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