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23 апреля 2008 года № 165            ПОСТАНОВЛЕНИЕ ПРАВИТЕЛЬСТВА КЫРГЫЗСКОЙ РЕСПУБЛИКИ                    О Среднесрочной тарифной политике               Кыргызской Республики на тепловую энергию                       на период 2008-2012 годы      В целях устойчивого развития, стабильного и надежного функциониро-вания теплоэнергетического  сектора  экономики  Кыргызской  Республики,Правительство Кыргызской Республики постановляет:     1. Утвердить прилагаемую </w:t>
      </w:r>
      <w:hyperlink w:history="1" r:id="rIdrcbjv24bwoxvmykkulysh">
        <w:r>
          <w:rPr>
            <w:rFonts w:ascii="Arial" w:cs="Arial" w:eastAsia="Arial" w:hAnsi="Arial"/>
            <w:color w:val="1D4ED8"/>
            <w:sz w:val="24"/>
            <w:szCs w:val="24"/>
            <w:u w:val="single"/>
          </w:rPr>
          <w:t xml:space="preserve">Среднесрочную тарифную политику</w:t>
        </w:r>
      </w:hyperlink>
      <w:r>
        <w:rPr>
          <w:rFonts w:ascii="Arial" w:cs="Arial" w:eastAsia="Arial" w:hAnsi="Arial"/>
          <w:sz w:val="24"/>
          <w:szCs w:val="24"/>
        </w:rPr>
        <w:t xml:space="preserve">  Кыргызс-кой Республики на тепловую энергию на период 2008-2012 годы.     2. Министерству промышленности,  энергетики и  топливных  ресурсовКыргызской Республики:     - совместно с государственными администрациями областей и  мэриямигородов  Бишкек и Ош принять меры по разъяснению настоящего постановле-ния;     - ежегодно, до 15 февраля, представлять в Правительство КыргызскойРеспублики отчет о ходе реализации настоящего постановления за  прошед-ший период и при необходимости вносить предложения по корректировке та-рифов.     3. Министерству труда и социального развития Кыргызской Республикисовместно с Министерством финансов Кыргызской Республики  и  Социальнымфондом  Кыргызской Республики в установленном порядке реализовать меха-низм адресной социальной защиты малообеспеченных слоев населения в  ус-ловиях повышения тарифов на тепловую энергию.     4. Министерству финансов Кыргызской Республики в установленном по-рядке внести изменения в </w:t>
      </w:r>
      <w:hyperlink w:history="1" r:id="rIdmwclh9glayccufnjppze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республиканскомбюджете Кыргызской Республики на 2008 год",  с учетом повышения тарифовна тепловую энергию.     5. Контроль за выполнением настоящего постановления  возложить  наМинистерство промышленности, энергетики и топливных ресурсов КыргызскойРеспублики.      Премьер-министр                                   И.Чудинов           </w:t>
      </w:r>
      <w:r>
        <w:rPr>
          <w:rFonts w:ascii="Arial" w:cs="Arial" w:eastAsia="Arial" w:hAnsi="Arial"/>
          <w:sz w:val="24"/>
          <w:szCs w:val="24"/>
        </w:rPr>
        <w:t xml:space="preserve">                                           Утверждена</w:t>
      </w:r>
      <w:r>
        <w:rPr>
          <w:rFonts w:ascii="Arial" w:cs="Arial" w:eastAsia="Arial" w:hAnsi="Arial"/>
          <w:sz w:val="24"/>
          <w:szCs w:val="24"/>
        </w:rPr>
        <w:t xml:space="preserve">                                           постановлением Правительства                                               Кыргызской Республики                                           от 23 апреля 2008 года № 165                     СРЕДНЕСРОЧНАЯ ТАРИФНАЯ ПОЛИТИКА               Кыргызской Республики на тепловую энергию                       на период 2008-2012 годы      I.          Введение     II.         Общие принципы     III.        Дальнейшее направление развития тарифной политики     IV.         Обязательства по дальнейшей работе     V.          Процедуры установления тарифов     VI.         Заключение     Приложение. Темпы повышения тарифов на тепловую энергию для                 конечных потребителей и результирующие величины                 тарифов (без НДС)                               I. Введение      Настоящая Среднесрочная тарифная политика Кыргызской Республики натепловую  энергию  на период 2008-2012 годы (далее - тарифная политика)разработана в соответствии с Законом Кыргызской Республики "Об  энерге-тике".     Данной тарифной  политикой  предусматривается  реализация  второгоэтапа  Долгосрочной  стратегии по теплоснабжению Кыргызской Республики,одобренной постановлением Правительства Кыргызской Республики от 27 ап-реля  2004 года N 300 "О плане действий по дальнейшей реализации консо-лидированного кредита Всемирного банка на структурные преобразования  вобласти центрального теплоснабжения Кыргызской Республики".     В ходе реализации первого этапа Долгосрочной стратегии по  теплос-набжению  была  проведена  ревизия действующих отопительных котельных итепловых сетей с целью определения их эффективности.  По итогам  работыбыл разработан план действий по переходу на более эффективные и доступ-ные системы теплоснабжения,  разработаны планы действия  по  реализациимероприятий  по приведению учета и регистрации граждан в соответствии сфактической проживающей численностью населения,  потребляющих  тепловуюэнергию.  Вместе с тем, не был выполнен план развития систем теплоснаб-жения областей и городов Бишкек и Ош  с  учетом  изменения  потреблениятепловой энергии и закрытия неэффективных отопительных котельных.     Главными целями настоящей тарифной политики  являются  постепенноевведение  принципов  самоокупаемости теплоэнергетической отрасли и поэ-тапное устранение перекрестных субсидий при тарифообразовании в теплоэ-нергетической отрасли.     Основополагающая идея настоящей тарифной  политики  заключается  впринятии  мер  по  созданию  благоприятной  среды в теплоэнергетике дляпривлечения инвестиций,  а также обеспечение надежного и бесперебойногоцентрализованного теплоснабжения потребителей.  Для этих целей в струк-туре тарифа будет предусматриваться элемент прибыли, которая будет нап-равлена на возврат вложенных инвестиций.                           II. Общие принципы      Настоящая тарифная  политика  основывается  на  следующих  базовыхпринципах:     1. Тарифы должны покрывать все затраты по производству,  передаче,распределению и сбыту тепловой энергии.     2. Тарифы  для каждой группы потребителей в перспективе должны от-ражать все затраты на теплоснабжение данной категории потребителей.     3. Субсидии должны быть адресными и направлены потребителям тепло-вой энергии (населению) с низким уровнем дохода через правительственныепрограммы социальной защиты.     Затраты по производству, передаче, распределению и реализации теп-ловой энергии должны включать в себя:     - эксплуатационные затраты;     - затраты на техническое обслуживание и реконструкцию тепловых се-тей;     - затраты на реализацию тепловой энергии;     - нормативные потери тепловой энергии,  включая  расход  тепла  насобственные нужды;     - затраты на обслуживание долга;     - затраты на капитальные вложения;     - элемент прибыли.     В последние  годы общее положение в теплоэнергетике характеризова-лось физическим и моральным износом основных средств, хроническим недо-финансированием и снижением эффективности работы. В связи с этим возни-кает необходимость вложения средств на цели,  проведения замены  и  ре-конструкции значительной части оборудования теплоэнергетики.  Это необ-ходимо для обеспечения приемлемого  уровня  надежности  и  безопасноститеплоснабжения, а также развития систем центрального отопления. Включе-ние в тарифы элемента прибыли будет поощрять вложение компаниями инвес-тиций,  необходимых  для повышения эффективности работы и снижения зат-рат.     Перекрестное субсидирование   между   потребителями  электрическойэнергии и потребителями тепла от систем централизованного  теплоснабже-ния должно постепенно устраняться.     Вместе с тем,  реальность такова,  что в среднесрочный  период  до2012  года  не  удастся полностью исключить субсидии в теплоэнергетике,так как это вызовет чрезмерный рост тарифа на тепловую энергию для всехгрупп потребителей,  особенно для населения.  Учитывая данный фактор, внастоящее время необходимо частично сохранить субсидии от  электроэнер-гетики в теплоэнергетику.     Тарифная политика будет способствовать:     - повышению эффективности использования тепловой энергии, отпуска-емой через системы центрального отопления  и  экспортируемых  топливныхресурсов (газ, мазут, уголь);     - использованию тепловой энергии от систем центрального теплоснаб-жения на наиболее полезные и продуктивные цели;     - появлению у потребителей возможности определить  реальную  стои-мость использования тепловой энергии, что создаст стимул для пересмотрапотребителем структуры своего потребления;     - развитию систем автономного теплоснабжения;     - поэтапному сокращению субсидирования теплоэнергетики со  стороныэлектроэнергетики и государственного бюджета Кыргызской Республики.                  III. Дальнейшее направление развития                           тарифной политики      Тарифы на тепловую энергию будут дифференцироваться по  категориямпотребителей,  исходя из их соответствия реальным затратам регулируемыхкомпаний по производству, передаче, распределению и реализации тепловойэнергии  и подпиточной воды.  Кроме того,  будет предусмотрено покрытиедругих затрат (обслуживание внутридомовых сетей), связанных с поставкойосновной продукции (работ, услуг) для данной категории потребителей.      Тариф на производство      В будущем  тариф на производство должен покрывать постоянные и пе-ременные затраты энергокомпаний на выработку тепловой энергии.      Тариф на передачу, распределение и реализацию      Тариф на передачу,  распределение и реализацию тепловой энергии  иводы будет состоять из:     - платы за присоединение к тепловой сети (затраты на 1 Гкал);     - платы за передачу,  распределение и сбыт тепловой энергии и воды(затраты на 1 Гкал).      Тариф для конечного потребителя      Включает в себя тариф на производство,  передачу,  распределение иреализацию тепловой энергии и воды.                 IV. Обязательства по дальнейшей работе      1. В течение среднесрочного периода не удастся полностью устранитьперекрестное субсидирование между различными группами потребителей,  ноименно это будет являться конечной целью тарифной политики.     2. Значительное отставание теплоснабжающих организаций в  проведе-нии ремонтных работ и реконструкции оборудования теплоэнергетики, нако-пившееся за последние годы из-за отсутствия необходимых средств, свиде-тельствует о том,  что существующие объемы инвестиций в теплоэнергетикунедостаточны.  То есть,  необходимо привлечение дополнительных инвести-ций. В настоящее время единственным возможным источником возврата такихинвестиций являются тарифы на тепловую энергию.  В связи с этим, Минис-терство промышленности, энергетики и топливных ресурсов Кыргызской Рес-публики будет пересматривать уровень тарифов и темпы их повышения в за-висимости от инвестиционных обязательств теплоэнергетических компаний.                    V. Процедуры установления тарифов      Суть новых  процедур  тарифообразования заключается в установленииболее эффективной структуры тарифов и приведении тарифов в соответствиес реальными затратами энергетических компаний.     В связи с этим,  Министерство промышленности, энергетики и топлив-ных  ресурсов  Кыргызской Республики предлагает,  начиная с 1 июля 2008года,  а в дальнейшем с 1 января каждого года,  ряд ежегодных повышенийтарифов на тепловую энергию, которые будут осуществляться согласно при-ложению N 1. Однако, данный уровень может быть пересмотрен в результатерассмотрения  инвестиционных  обязательств теплоснабжающих энергокомпа-ний.     Тарифы на  тепловую энергию для конечных потребителей устанавлива-ются на весь период 2008-2012 годов.  В конце каждого года Министерствопромышленности,  энергетики  и топливных ресурсов Кыргызской Республикибудет проводить анализ изменения цен на топливные ресурсы (газ,  мазут,уголь).  По результатам такого анализа будут корректироваться тарифы натепловую энергию и темпы их повышения на следующий год.  При  ежегодномпересмотре уровня тарифов и темпов их повышения Министерство промышлен-ности,  энергетики и топливных ресурсов Кыргызской Республики также бу-дет учитывать отклонение основных показателей деятельности теплоснабжа-ющих компаний от принятых при расчете тарифной политики.     Населению, получающему  тепловую энергию на цели отопления и горя-чего водоснабжения от котельных коммунального предприятия "Бишкектепло-энерго"  и Кыргызжилкоммунсоюз,  а также других министерств и ведомств,тарифы будут устанавливаться аналогичные как для населения  получающеготепловую  энергию  от ОАО "Бишкектеплосеть" и структурных подразделенийОАО "Электрические станции".                             VI. Заключение      Перекрестное субсидирование между различными группами потребителейи между потребителями централизованного теплоснабжения должно постепен-но устраняться.  В реальности в среднесрочный период  не  удастся  пол-ностью исключить субсидии в теплоэнергетике,  так как это вызовет чрез-мерный рост тарифов на отопление и горячую воду.  Существующая практикаустановления тарифов (снижение тарифов одним потребителям за счет повы-шения другим, а также за счет субсидирования от доходов экспорта элект-роэнергии) не соответствует реальным затратам на производство, передачуи распределение тепловой энергии для конечного потребителя.                                                     Приложение                                            к Среднесрочной тарифной                                         политике Кыргызской Республики                                               на тепловую энергию                                            на период 2008-2012 годы               Темпы повышения тарифов на тепловую энергию              для конечных потребителей и результирующие                      величины тарифов (без НДС) -----------------------------------------------------------------------|N|Составляющая тарифа и| Ед. изм. |      Дата повышения тарифа       || | группа потребителей |          |----------------------------------|| |                     |          |01.07.|01.01.|01.01.|01.01.|01.01.|| |                     |          | 2008 | 2009 | 2010 | 2011 | 2012 || |                     |          |  г.  |  г.  |  г.  |  г.  |  г.  ||-|---------------------|----------|------|------|------|------|------|| |ОПЛАТА ЗА ТЕПЛОВУЮ   |          |      |      |      |      |      || |ЭНЕРГИЮ НА ЦЕЛИ      |          |      |      |      |      |      || |ОТОПЛЕНИЯ            |          |      |      |      |      |      ||-|---------------------|----------|------|------|------|------|------||1|Население            |сом/Гкал  | 500  | 725  |1050  |1310  |1570  ||-|---------------------|----------|------|------|------|------|------|| |Рост                 |    %     |  28,2|  45  |  44,8|  24,8|  19,8||-|---------------------|----------|------|------|------|------|------||2|Промышленность       |сом/Гкал  | 860  |1032  |1187  |1365  |1570  ||-|---------------------|----------|------|------|------|------|------|| |Рост                 |    %     |  61  |  20  |  15  |  15  |  15  ||-|---------------------|----------|------|------|------|------|------||3|Бюджетные потребители|сом/Гкал  | 860  |1032  |1187  |1365  |1570  ||-|---------------------|----------|------|------|------|------|------|| |Рост                 |    %     |  61  |  20  |  15  |  15  |  75  ||-|---------------------|----------|------|------|------|------|------||4|Прочие потребители   |сом/Гкал  | 860  |1032  |1187  |1365  |1570  ||-|---------------------|----------|------|------|------|------|------|| |Рост                 |    %     |  61  |  20  |  15  |  15  |  15  ||-|---------------------|----------|------|------|------|------|------|| |ОПЛАТА ЗА ГОРЯЧЕЕ    |          |      |      |      |      |      || |ВОДОСНАБЖЕНИЕ        |          |      |      |      |      |      ||-|---------------------|----------|------|------|------|------|------||1|Население за тепловую|сом/Гкал  | 250  | 382,5| 573,8| 849,2|1231,8|| |энергию в ГВС        |          |      |      |      |      |      ||-|---------------------|----------|------|------|------|------|------|| |Рост                 |    %     |  58,3|  53  |  50  |  48  |  45  ||-|---------------------|----------|------|------|------|------|------||2|Население за горячую |сом/тонна |  23,7|  31  |  41,1|  55,3|  74,4|| |воду по приборам     |          |      |      |      |      |      || |учета                |          |      |      |      |      |      ||-|---------------------|----------|------|------|------|------|------|| |Рост                 |    %     |  97,5|  30,8|  32,6|  34,5|  34,5||-|---------------------|----------|------|------|------|------|------||3|Население за горячую |сом/месяц | 113,8| 148,8| 197,3| 265,4| 357,1|| |воду с 1 человека    |          |      |      |      |      |      ||-|---------------------|----------|------|------|------|------|------|| |Рост                 |    %     |  97,5|  30,8|  32,6|  34,5|  34,5||-|---------------------|----------|------|------|------|------|------||1|Все остальные        |сом/Гкал  | 860  |1032  |1187  |1365  |1570  || |потребители за       |          |      |      |      |      |      || |тепловую энергию в   |          |      |      |      |      |      || |ГВС                  |          |      |      |      |      |      ||-|---------------------|----------|------|------|------|------|------|| |Рост                 |    %     |  61  |  20  |  15  |  15  |  15  ||-|---------------------|----------|------|------|------|------|------||2|Промышленность       |сом/тонна |  51,8|  59,7|  66,8|  75  |  84,4||-|---------------------|----------|------|------|------|------|------|| |Рост                 |    %     |  77  |  15,2|  11,9|  12,3|  12,5||-|---------------------|----------|------|------|------|------|------||3|Бюджетные потребители|сом/тонна |  51,8|  59,7|  66,8|  75  |  84,4||-|---------------------|----------|------|------|------|------|------|| |Рост                 |    %     |  77  |  15,2|  11,9|  12,3|  12,5||-|---------------------|----------|------|------|------|------|------||4|Прочие потребители   |сом/тонна |  51,8|  59,7|  66,8|  75  |  84,4||-|---------------------|----------|------|------|------|------|------|| |Рост                 |    %     |  77  |  15,2|  11,9|  12,3|  12,5|-----------------------------------------------------------------------</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kagdnzto2w-xciunjdta">
      <w:r>
        <w:rPr>
          <w:rFonts w:ascii="Arial" w:cs="Arial" w:eastAsia="Arial" w:hAnsi="Arial"/>
          <w:color w:val="132D3F"/>
          <w:sz w:val="16"/>
          <w:szCs w:val="16"/>
          <w:u w:val="single"/>
        </w:rPr>
        <w:t xml:space="preserve">dalil.kg/document/59016</w:t>
      </w:r>
    </w:hyperlink>
  </w:p>
  <w:p>
    <w:pPr>
      <w:spacing w:after="0" w:before="40"/>
      <w:jc w:val="center"/>
    </w:pPr>
    <w:hyperlink w:history="1" r:id="rId7hq39aoeri0vw4mev-hm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cbjv24bwoxvmykkulysh" Type="http://schemas.openxmlformats.org/officeDocument/2006/relationships/hyperlink" Target="https://dalil.kg/document/59016#1" TargetMode="External"/><Relationship Id="rIdmwclh9glayccufnjppzeb" Type="http://schemas.openxmlformats.org/officeDocument/2006/relationships/hyperlink" Target="https://dalil.kg/document/5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kagdnzto2w-xciunjdta" Type="http://schemas.openxmlformats.org/officeDocument/2006/relationships/hyperlink" Target="https://dalil.kg/document/59016" TargetMode="External"/><Relationship Id="rId7hq39aoeri0vw4mev-hm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2026-09-25T07:28:13.642Z</dcterms:created>
  <dcterms:modified xsi:type="dcterms:W3CDTF">2026-09-25T07:28:13.642Z</dcterms:modified>
</cp:coreProperties>
</file>

<file path=docProps/custom.xml><?xml version="1.0" encoding="utf-8"?>
<Properties xmlns="http://schemas.openxmlformats.org/officeDocument/2006/custom-properties" xmlns:vt="http://schemas.openxmlformats.org/officeDocument/2006/docPropsVTypes"/>
</file>