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18 июля 2008 года № 153 г.Бишкекот 30 апреля 2008 года      Юридический Департамент     КОНФИДЕНЦИАЛЬНО     Обсужденный текст     6 февраля 2007                                                     Грант номер H358-KG                               СОГЛАШЕНИЕ           о финансировании (Проект Городской Инфраструктуры           городов Бишкек и Ош) между Кыргызской Республикой                 и Международной Ассоциацией развития      Настоящее СОГЛАШЕНИЕ, от 30 апреля 2008 года, заключено между КЫР-ГЫЗСКОЙ РЕСПУБЛИКОЙ" ("Получатель") и МЕЖДУНАРОДНОЙ АССОЦИАЦИЕЙ  РАЗВИ-ТИЯ  ("Ассоциация").  Настоящим  Получатель  и Ассоциация соглашаются оследующем:      Статья I - Общие условия; Определения      1.01. Общие Условия (так, как они определяются в Дополнении к нас-тоящему Соглашению) являются неотъемлемой частью настоящего Соглашения.     1.02. Термины, написанные заглавными буквами и используемые в нас-тоящем Соглашении, имеют значение, которое им придается в Общих Услови-ях или в Дополнении к настоящему Соглашению,  если только  контекст  нетребует их другого значения.      Статья II - Финансирование      2.01. Ассоциация согласна предоставить грант на сумму семь миллио-нов шестьсот тысяч Специальных Прав Заимствования (7600000  СПЗ)  ("Фи-нансирование") для Получателя, для финансирования Проекта, описанного вПриложении 1 настоящего Соглашения ("Проект"),  на сроках  и  условиях,установленных, или на которые ссылается настоящее Соглашение.     2.02. Получатель может снимать средства Финансирования в соответс-твии с Разделом IV Приложения 2 Настоящего Соглашения.     2.03. Максимальная Ставка Платы за  Резервирование,  выплачиваемаяПолучателем за Остаток Неснятых Средств Финансирования,  должна состав-лять половину одного процента (1/2 от 1%) в год.     2.04. Даты Платежей: 15 мая и 15 ноября каждого года.     2.05. Валюта платежей: Доллары Соединенных Штатов Америки.      Статья III - Проект      3.01. Получатель заявляет о своей приверженности целям Проекта.  Вэтой связи Получатель должен обеспечить, чтобы Проект выполнялся Испол-нительным Агентством Проекта в соответствии с положениями Статьи IV Об-щих Условий и Соглашения о Проекте.     3.02. Получатель должен обеспечить,  чтобы Проект выполнялся в со-ответствии с положениями Приложения 2 настоящего Соглашения, не ограни-чивая положения Раздела 3.01 настоящего Соглашения, если только Получа-тель и Ассоциация не примут другого решения.      Статья IV - Права ассоциации      4.01. Дополнительные События,  позволяющие Временную Приостановку,включают следующее:     Законодательство Исполнительного Агентства Проекта изменено,  при-остановлено,  объявлено недействительным,  аннулировано или отложено нанеопределенное время,  таким образом, что это влияет физически и небла-гоприятно на Исполнительное Агентство Проекта в плане выполнения  своихобязательств в рамках Соглашения о Проекте.      Статья V - Вступление в силу, прекращение действия      5.01. Дополнительные Условия Вступления в силу включают следующее:     (a) Субсидиарное Соглашение заключено между Получателем и Исполни-тельным Агентством Проекта.     (b) Операционное Руководство Проекта,  удовлетворяющее Ассоциацию,принято Исполнительным Агентством Проекта.     5.02. Дополнительный Юридический Вопрос состоит из следующего:     Субсидиарное Соглашение  должным  образом утверждено Получателем иИсполнительным Агентством Проекта,  и его условия  являются  юридическиобязательными для Получателя и Исполнительного Агентства Проекта.     5.03. Окончательный Срок Вступления в силу - девяносто (90)  дней,начиная с даты заключения настоящего Соглашения.     5.04. С целью соблюдения положений Раздела 8.05 (Ь) Общих Условий,срок  окончания  действия  обязательств  Получателя в рамках настоящегоСоглашения (за исключением обязательств по платежам)  составляет  двад-цать лет, начиная с даты заключения настоящего Соглашения.      Статья VI - Представители, адреса      6.01. Представителем Получателя является Министр Финансов.     6.02. Адрес Получателя:      Министерство Финансов     Бульвар Эркиндик, 58     Город Бишкек, 720040     Кыргызская Республика     Телекс:                           Факсимиле:     245-156 NUR KH                    (996-312) 661645      6.03. Адрес Ассоциации:      Международная ассоциация развития     ул. Н, 1818, N.W.     Вашингтон, округ Колумбия, 20433     Соединенные Штаты Америки     Телеграф:                      Телекс:           Факсимиле:     ИНДЕВАС                        248423 (MCI)      (202) 477-6391     Вашингтон Округ Колумбия      Соглашение заключено ______________, _____________, на день и год,указанный выше.      От Кыргызской Республики             От Международной Ассоциации                                          Развития      Подпись                              Подпись      Уполномоченного Представителя        Уполномоченного представителя     Тажикан Калимбетова                  Роджер Робинсон                                                             Приложение 1                            Описание Проекта      Целью Проекта  является оказание содействия Получателю в улучшенииусловий жизни жителей новостроек городов Бишкек и Ош,  посредством раз-вития объектов инфраструктуры Муниципалитетов городов Бишкек и Ош,  от-носящихся к дорожным сетям, дренажным системам, системам снабжения чис-той и качественной водой и другой подобной инфраструктуре, а также реа-билитации и усовершенствования данной инфраструктуры.     Проект состоит из следующих частей:      Часть 1: Развитие Инфраструктуры      Проведение работ и предоставление услуг для реабилитации,  улучше-ния и развития инфраструктуры (а) муниципалитета города Бишкек  по  до-рожной сети,  дренажной системе,  системе снабжения чистой питьевой во-дой,  а также другой подобной инфраструктуры,  определенной в соответс-твии с критериями и процедурами,  приемлемыми для Ассоциации, муниципа-литета города Бишкек и (Ь) муниципалитета города Ош по  дорожной  сети,дренажной  системе,  системе  снабжения чистой питьевой водой,  а такжедругой подобной инфраструктуры, определенной в соответствии с критерия-ми и процедурами, приемлемыми для Ассоциации, муниципалитета города Ош.      Часть 2: Программа Инвестирования в Сообщества      Реализация мелкомасштабных инвестиций, в соответствии с критериямии процедурами,  приемлемыми для Ассоциации,  для участвующих новостроек(а) в городе Бишкек в целях улучшения условий жизни в указанных новост-ройках и (Ь) в городе Ош в целях улучшения условий  жизни  в  указанныхновостройках.      Часть 3: Институциональное Развитие      Оказание технической помощи и другой поддержки для усиления инсти-туционального потенциала различных органов  (а)  муниципалитета  городаБишкек в управлении предоставлением муниципальных услуг в городе Бишкеки (Ь) муниципалитета города Ош в управлении предоставлением муниципаль-ных услуг в городе Ош.      Часть 4: Управление, Координация, Мониторинг и Оценка Проекта      Оказание технической  помощи  Исполнительному  Агентству Проекта идругим организациям, вовлеченным в реализацию Проекта, включая финанси-рование операционных расходов и аудита,  для целей управления и монито-ринга деятельности Проекта,  а также проведение тренингов и семинаров сцелью  повышения  потенциала Исполнительного Агентства Проекта в подго-товке, оценке и реализации инфраструктурных инвестиций, включая сотруд-ничество с участвующими новостройками в реализации Проекта.                                                             Приложение 2                           Выполнение Проекта                                Раздел I                         Механизмы Реализации      A. Институциональные Механизмы      1. Получатель  должен  обеспечить,  чтобы Исполнительное АгентствоПроекта реализовывало Проект в соответствии с положениями ОперационногоРуководства  Проекта.  Получатель  не должен изменять или уклоняться откакого-либо положения Операционного Руководства Проекта, и не требоватьэтого от Исполнительного Агентства Проекта, если, по мнению Ассоциации,подобное изменение или уклонение может физически или неблагоприятно от-разиться на осуществлении Проекта или достижении целей Проекта, за иск-лючением случаев, согласованных с Ассоциацией.     2. При  любых обстоятельствах Получатель должен обеспечить,  чтобыИсполнительное Агентство Проекта было наделено достаточными  функциями,кадрами и ресурсами, удовлетворяющими Ассоциацию.      B. Субсидиарное Соглашение      1. Для  эффективной реализации Проекта,  Получатель должен обеспе-чить Исполнительное Агентство Проекта доступом к средствам Финансирова-ния  в рамках субсидиарного соглашения между Получателем и Исполнитель-ным Агентством Проекта,  и в соответствии со сроками и условиями, одоб-ренными Ассоциацией ("Субсидиарное Соглашение").     2. Получатель должен использовать свои права в рамках Субсидиарно-го Соглашения таким образом, чтобы защищать интересы Получателя и Ассо-циации,  а также для достижения целей  Финансирования.  За  исключениемслучаев,  согласованных  с Ассоциацией,  Получатель не должен переусту-пать, изменять, аннулировать или временно приостанавливать СубсидиарноеСоглашение или какое-либо его положение.      C. Предотвращение коррупции      Получатель должен  обеспечить,  чтобы Проект осуществлялся в соот-ветствии с положениями Руководства по Предотвращению Коррупции.      D. Меры безопасности      Получатель: (i) должен обеспечивать,  чтобы Исполнительное  Агент-ство Проекта осуществляло Проект в соответствии с положениями ПрограммыМероприятий по Охране Окружающей Среды;  (ii) должен предпринимать  всеусилия, включая подготовку и предоставление Планов Мероприятий по Охра-не Окружающей Среды,  а также обеспечение средств,  мощностей,  услуг ипрочих  ресурсов,  необходимых или требуемых для выполнения Проекта;  и(iii) не должен осуществлять или допускать осуществление любой деятель-ности, которая препятствует или вмешивается в реализацию Проекта.                                Раздел II                Мониторинг, Отчетность и Оценка Проекта      А. Отчеты Проекта      Получатель должен обеспечить чтобы Исполнительное Агентство Проек-та проводило мониторинг и оценку прогресса,  достигнутого по Проекту, иготовило Проектные Отчеты в соответствии с положениями Раздела 4.08 Об-щих Условий, и на основе индикаторов, согласованных с Ассоциацией. Каж-дый Проектный Отчет должен охватывать один календарный квартал,  и дол-жен представляться Исполнительным Агентством Проекта в Ассоциацию в те-чение сорока пяти (45) дней после окончания периода, который охватываеттакой отчет.      В. Финансовое Управление, Финансовые Отчеты и Аудиты      1. Получатель  должен  обеспечить  чтобы  Исполнительное АгентствоПроекта осуществляло ведение системы финансового управления в соответс-твии с положениями раздела 4.09 Общих Условий.     2. Не ограничивая положений Части А  данного  Раздела,  Получательдолжен  обеспечить  чтобы  Исполнительное  Агентство Проекта готовило ипредставляло в Ассоциацию промежуточные неаудированные финансовые отче-ты, как часть Проектного Отчета, не позднее сорока пяти (45) дней послеокончания каждого календарного квартала,  охватывая квартал, по форме исодержанию, удовлетворяющему Ассоциацию.     3. Получатель должен  обеспечить  чтобы  Исполнительное  АгентствоПроекта  проводило  аудит  своей Финансовой Отчетности в соответствии сположениями Раздела 4.09 (Ь) Общих Условий. Каждый аудит Финансовой От-четности  должен охватывать период равный одному финансовому году Полу-чателя,  начиная с финансового года, когда было произведено первое сня-тие  средств.  Финансовая Отчетность за каждый такой период,  прошедшаяаудиторскую проверку,  должна представляться Исполнительным  АгентствомПроекта  в  Ассоциацию  не позднее шести месяцев после окончания такогопериода.                               Раздел III                                Закупки      A. Общие положения      1. Товары и Работы.  Все товары и работы, необходимые для Проекта,и финансируемые из средств Финансирования,  должны закупаться  в  соот-ветствии  с  требованиями,  установленными или на которые идет ссылка вРазделе I Руководства по Закупкам, и положениями данного Раздела.     2. Услуги Консультантов. Все услуги консультантов, необходимые дляПроекта, и финансируемые из средств Финансирования, должны закупаться всоответствии с требованиями,  установленными или на которые идет ссылкав Разделах I и IV Руководства по Консультантам, и с положениями данногоРаздела.     3. Определения. Термины, написанные заглавными буквами, используе-мые  ниже  в  данном разделе для описания определенных методов закупки,или методов обзора со стороны Ассоциации,  ссылаются на соответствующийметод,  описываемый в Руководстве по Закупкам,  или Руководстве по Кон-сультантам, в зависимости от случая.      B. Определенные Методы Закупки Товаров и Работ      1. Международные Конкурсные Торги.  Товары и работы  должны  заку-паться  по контрактам,  присуждаемым на основе Международных КонкурсныхТоргов,  за исключением иных случаев, предусмотренных в параграфе 2 ни-же.     2. Прочие Методы Закупки Товаров и Работ.  В нижеследующей таблицеуказываются  методы закупки,  отличные от Международных Конкурсных Тор-гов,  которые могут использоваться для товаров и  работ.  План  Закупокдолжен  определять обстоятельства,  при которых могут применяться такиеметоды:-----------------------------------------------------------------------|                            Метод Закупок                            ||---------------------------------------------------------------------||   (а) Национальные Конкурсные Торги, подлежат следующим положениям: ||                                                                     ||   А. Регистрация и Лицензирование                                   ||                                                                     ||   (а) Торги (тендер) не должны ограничиваться заранее  зарегистриро-||ванными/лицензированными фирмами.                                    ||   (b) Когда требуется регистрация или лицензирование, (i) участникам||торгов  должно  быть  предоставлено достаточно времени для завершения||регистрации или процесса лицензирования в разумные сроки;  и (ii) ре-||гистрация/лицензирование  участников  торгов не должна отклоняться по||причинам,  не связанным с их потенциалом и ресурсами,  которые должны||проверяться во время пост-квалификации и необходимы для успешного вы-||полнения контракта.                                                  ||   (c) Иностранным участникам торгов должно разрешаться участвовать в||тендере.  Если требуется регистрация или лицензирование, иностранному||участнику торгов,  предложившему самую низкую цену,  должна быть пре-||доставлена возможность в разумные сроки зарегистрироваться или  полу-||чить лицензию.                                                       ||                                                                     ||   B. Реклама                                                        ||                                                                     ||   Приглашение на участие в торгах должно опубликовываться в Бюллете-||не Государственной Закупки и,  по меньшей мере,  в одной  (1)  широко||распространяемой республиканской ежедневной газете,  предоставляя ми-||нимум тридцать (30) дней на подготовку и подачу  тендерных  предложе-||ний.                                                                 ||                                                                     ||   C. Пред-квалификация                                              ||                                                                     ||   Когда для крупных  или  сложных работ требуется пред-квалификация,||приглашение на пред-квалификацию по тендеру должно  опубликовываться,||по меньшей мере,  в одной (1) широко распространяемой республиканской||ежедневной газете,  минимум за тридцать (30) дней до окончания  срока||подачи заявлений на участие в пред-квалификации.  В пред-квалификаци-||онных документах должны четко указываться  технические  и  финансовые||требования, а также минимально приемлемый опыт.                      ||                                                                     ||   D. Участие Государственных организаций                            ||                                                                     ||   Государственные организации  Кыргызской  Республики  должны  иметь||право на участие в тендере,  только если они могут  подтвердить,  что||они юридически и финансово автономны, работают в рамках коммерческого||права и не являются подчиненным агентством заказчика. Более того, они||будут подлежать таким же требованиям, предъявляемым по предоставлению||гарантий тендерного предложения и исполнения контракта,  как и другие||участники торгов.                                                    ||                                                                     ||   E. Тендерная Документация                                         ||                                                                     ||   Закупающие лица  должны  использовать  соответствующую стандартную||тендерную документацию для закупки товаров, работ или услуг, приемле-||мую для Ассоциации.                                                  ||                                                                     ||   F. Вскрытие и оценка Тендерных Предложений                        ||                                                                     ||   (a) Тендерные  предложения  должны вскрываться публично,  сразу же||после окончания срока подачи тендерных предложений.                  ||   (b) Оценка тендерных предложений должна проводиться строго в соот-||ветствии с критериями,  измеряемыми в денежной форме,  указываемыми в||тендерной документации.                                              ||   (c) Предпочтения к отечественным фирмам не допускается.           ||   (d) Контракты  должны  присуждаться  квалифицированному участнику,||предложившему самую низкую цену и представившему тендерное  предложе-||ние, существенно отвечающее всем требованиям, без проведения дальней-||ших переговоров.                                                     ||                                                                     ||   G. Корректировка Цен                                              ||                                                                     ||   В долгосрочных контрактах на строительные работы  (например,  дли-||тельностью  более восемнадцати (18) месяцев) должна содержаться соот-||ветствующая статья о корректировке цен.                              ||                                                                     ||   Н. Отклонение Всех Тендерных Предложений                          ||                                                                     ||   Отклонение всех тендерных предложений и запрос  новых  предложений||должно проводиться только с предварительного согласия Ассоциации.    ||                                                                     ||   I. Отклонение Отдельного Тендерного Предложения                   ||                                                                     ||   Отдельное тендерное предложение должно отклоняться только в следу-||ющих случаях:                                                        ||   (a) Участник не квалифицирован;                                   ||   (b) Участник не принимает корректировку,  сделанную Тендерной  Ко-||миссией закупающей организации,  арифметической ошибки, допущенной им||в тендерном предложении;                                             ||   (c) Участник не отвечает требованиям тендерной документации; или  ||   (d) Возникают обстоятельства указанные в Статье 6 Закона  о  Госу-||дарственных Закупках.                                                ||   J. Для конкурсных торгов и оценки тендерных предложений  на  конт-||ракты для строительных работ не должны использоваться государственные||единичные расценки.                                                  ||---------------------------------------------------------------------||   (b) Шоппинг                                                       ||---------------------------------------------------------------------||   (c) Прямое заключение контрактов                                  |-----------------------------------------------------------------------      С. Определенные Методы Закупки Консультационных Услуг      1. Отбор на основе Качества и Цены (QCBS). Услуги должны закупать-ся по контрактам,  присуждаемым на основе Отбора по Качеству и Цене, заисключением иных случаев, предусмотренных в параграфе 2 ниже.     2. Прочие Методы Закупки Консультационных Услуг.  В  нижеследующейтаблице  указываются  методы закупки,  отличные от Отбора на основе Ка-чества и Цены, которые могут использоваться для консультационных услуг.План закупок должен определять обстоятельства, при которых могут приме-няться такие методы.-----------------------------------------------------------------------|                            Метод Закупки                            ||---------------------------------------------------------------------||(a) Отбор по Наименьшей Цене                                         ||---------------------------------------------------------------------||(b) Отбор на основе Квалификации Консультантов                       ||---------------------------------------------------------------------||(c) Отбор Индивидуальных Консультантов                               ||---------------------------------------------------------------------||(d) Отбор из единого источника                                       |-----------------------------------------------------------------------      D. Обзор Ассоциацией Решений по Закупкам      План Закупок должен определять те контракты, которые должны подле-жать предварительному Обзору со стороны Ассоциации. Все остальные конт-ракты должны подлежать последующему Обзору со стороны Ассоциации.                                Раздел IV                     Снятие Средств Финансирования      А. Общие положения      1. Получатель может снимать средства Финансирования,  в  соответс-твии с положениями Статьи II Общих Условий,  данного Раздела, и тех до-полнительных инструкций, которые Ассоциация укажет в письменном уведом-лении Получателя (включая "Руководство по Выплатам Всемирного Банка дляПроектов" от мая 2006 года,  которое время от времени  пересматриваетсяАссоциацией и имеет отношение к данному Соглашению в соответствии с та-кими инструкциями),  для (а) выплаты Аванса на Подготовку Проекта в со-ответствии  с  Разделом  2.07  Общих  Условий и (Ь) финансирования 100%(включая Налоги) Правомочных Расходов.     2. В  нижеследующей таблице указываются категории Правомочных Рас-ходов,  которые могут финансироваться из средств Финансирования ("Кате-гория"),  распределение  сумм  Финансирования по Категориям,  и процентрасходов на Правомочные Расходы по каждой Категории:-----------------------------------------------------------------------|     Категория        |   Сумма Выделенного  | Процент Финансируемых ||                      |Финансирования (в СПЗ)|       Расходов        ||----------------------|----------------------|-----------------------||(1) Товары и Работы по|5470000 СПЗ           |           80%         ||Части 1 Проекта       |                      |                       ||----------------------|----------------------|-----------------------||(2) Товары и Работы по|570000 СПЗ            |           95%         ||Части 2 Проекта       |                      |                       ||----------------------|----------------------|-----------------------||(3) Товары по Частям  |210000 СПЗ            |          100%         ||3 и 4 Проекта         |                      |                       ||----------------------|----------------------|-----------------------||(4) Услуги            |450000 СПЗ            |100% местных           ||консультантов, включая|                      |консультационных услуг ||аудит и тренинги      |                      |90% иностранных        ||                      |                      |консультационных услуг ||----------------------|----------------------|-----------------------||(5) Операционные      |570000 СПЗ            |          100%         ||расходы               |                      |                       ||----------------------|----------------------|-----------------------||(6) Нераспределенные  |330000 СПЗ            |                       ||средства              |                      |                       ||----------------------|----------------------|-----------------------||ВСЕГО                 |7600000 СПЗ           |                       |-----------------------------------------------------------------------      В. Условия для Снятия; Период Снятия      1. Независимо от положений Части А данного  Раздела,  средства  недолжны сниматься:     (a) по Категории 2 для деятельности Проекта по Части 2 Проекта  дотого,  как Получатель обеспечил, чтобы Исполнительное Агентство Проектазаключило соглашения по реализации, приемлемые для Ассоциации, с Терри-ториальными Органами Самоуправления новостроек;     (b) по Категории 1 для деятельности Проекта по Части 1 Проекта  дотого,  как Получатель обеспечил, чтобы Исполнительное Агентство Проектазаключило соглашения по реализации, приемлемые для Ассоциации, с мэрия-ми города Бишкек и города Ош, соответственно.     2. Датой Закрытия является 30 июня 2012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u8ydqwwqipfcywkamaw">
      <w:r>
        <w:rPr>
          <w:rFonts w:ascii="Arial" w:cs="Arial" w:eastAsia="Arial" w:hAnsi="Arial"/>
          <w:color w:val="132D3F"/>
          <w:sz w:val="16"/>
          <w:szCs w:val="16"/>
          <w:u w:val="single"/>
        </w:rPr>
        <w:t xml:space="preserve">dalil.kg/document/59393</w:t>
      </w:r>
    </w:hyperlink>
  </w:p>
  <w:p>
    <w:pPr>
      <w:spacing w:after="0" w:before="40"/>
      <w:jc w:val="center"/>
    </w:pPr>
    <w:hyperlink w:history="1" r:id="rIdmld-tiwpqnuw9clpwf3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u8ydqwwqipfcywkamaw" Type="http://schemas.openxmlformats.org/officeDocument/2006/relationships/hyperlink" Target="https://dalil.kg/document/59393" TargetMode="External"/><Relationship Id="rIdmld-tiwpqnuw9clpwf3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2026-10-03T14:06:33.501Z</dcterms:created>
  <dcterms:modified xsi:type="dcterms:W3CDTF">2026-10-03T14:06:33.501Z</dcterms:modified>
</cp:coreProperties>
</file>

<file path=docProps/custom.xml><?xml version="1.0" encoding="utf-8"?>
<Properties xmlns="http://schemas.openxmlformats.org/officeDocument/2006/custom-properties" xmlns:vt="http://schemas.openxmlformats.org/officeDocument/2006/docPropsVTypes"/>
</file>