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
 </w:t>
      </w:r>
      <w:hyperlink w:history="1" r:id="rIdqjrs7qmi64f4ylvpyek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16 августа 2008 года N 457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sz w:val="28"/>
          <w:szCs w:val="28"/>
        </w:rPr>
        <w:t xml:space="preserve">
 о специальных средствах Кыргызского центра аккредитации 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ytdrl30xdb_kq5_rebf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2009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vdqxxewlglgaijryy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2010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xictcdpwoly9aemxy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pqu3jyua54rfvfqmmc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  Положение разработано в соответствии с постановлениями Правительства Кыргызской Республики от </w:t>
      </w:r>
      <w:hyperlink w:history="1" r:id="rIdc_up1ngrno3ghu_beq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2000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 "О  специальных средствах и депозитных суммах учреждений,  состоящих на государственном бюджете Кыргызской Республики" и от </w:t>
      </w:r>
      <w:hyperlink w:history="1" r:id="rIdkgreuvbvmhwvcicu_jh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</w:t>
        </w:r>
      </w:hyperlink>
      <w:hyperlink w:history="1" r:id="rId689ultdlotht3kv7fv0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795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органов по оценке соответствия в Кыргызской Республике".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Специальными средствами являются средства, помимо ассигнований, выделяемых из республиканского бюджета Кыргызской Республики, получаемые Кыргызским центром аккредитации при Министерстве экономики и коммерции Кыргызской Республики (далее - КЦА) от оказания хозяйствующим субъектам платных услуг по аккредитации органов по оценке соответствия (ООС), инспекционному контролю за их деятельностью и иной производственно-хозяйственной деятельности, а также грантов международных организаций и учреждений стран-доноров и частных инвесторов, спонсорской помощи и других источников,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6tqlxn9lpxitlp9rth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2010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n2tt5kltb_fyfxwym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uvr8ponxymlmhnp1u-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Прейскурант цен на проведение работ по аккредитации и инспекционному контролю ООС и других видов деятельности устанавливается КЦА по согласованию с уполномоченным государственным органом по антимонопольному регулированию.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aydjbs4hekqj-d9ozo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Оплата работ, услуг, оказываемых Центром аккредитации, производится на основании заключенных договоров и других документов согласно Прейскуранту.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  специальных средств производится в строгом соответствии с утвержденной сметой доходов и расходов по разрешению  Министерства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Смета доходов и расходов составляется на каждый год и утверждается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Специальные средства КЦА используются: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 процентов - на оплату юридическим лицам за оказанные услуги по аккредитации или инспекционному контролю, а также физическим лицам, внесенным в реестр оценщиков и технических экспертов Кыргызского центра аккредитации, согласно утвержденному Прейскуранту;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для отчисления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оставшиеся средства направляются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деятельности Совета по аккредитации, технических комитетов по аккредитации в целях разработки и поддержания принципов и политики национальной системы аккредитации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недостаточно финансируемых из средств республиканского бюджета статей расходов (ремонт и аренда служебного помещения, приобретение компьютерной и иной оргтехники, инвентаря, обслуживание и ремонт технических средств, служебного автотранспорта, приобретение ГСМ, запчастей, оплату коммунальных услуг и прочее);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и развитие материально-технической базы, оказание материальной поддержки и стимулирование работников КЦА согласно коллективному договору, оплату за услуги привлекаемых оценщиков, экспертов и членов технических комитетов;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учебных программ, служебных командировок, стажировок, повышение квалификации специалистов, выполнение непредвиденных работ по трудовым и гражданско-правовым договорам, представительские расходы;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мероприятия, направленные на обеспечение деятельности КЦА по реализации возложенных на него функций и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vy8n4-xxoeneuzdkz8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2009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bgih7tubqqmg6gxt6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N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Порядок  распределения,  конкретные направления использования специальных средств, получаемых при оказании платных услуг (работ) Центром аккредитации, утверждаются  директором  КЦА  по согласованию с Министерством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Специальные  средства аккумулируются на специальном счете Центра аккредитации в региональном казначействе Министерства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Распорядителем специальных средств является директор  Центра аккредитации,  в его отсутствие - заместитель директора, которому предоставлено право на распоряжение бюджетными ассигнованиями.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2.6. Главный бухгалтер Центра аккредитации ведет учет формирования, распределения средств и представляет отчет по специальным средствам Центра аккредитации в Центральное казначейство Министерства финансов Кыргызской Республики,  осуществляет контроль за целевым использованием средств согласно сметным  назначениям, утвержденным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0nv_6zmmnyjjsqmue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dalil.kg/document/59416</w:t>
      </w:r>
    </w:hyperlink>
  </w:p>
  <w:p>
    <w:pPr>
      <w:spacing w:after="0" w:before="40"/>
      <w:jc w:val="center"/>
    </w:pPr>
    <w:hyperlink w:history="1" r:id="rId5zaphicee0kv6rmyfey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rs7qmi64f4ylvpyekuk" Type="http://schemas.openxmlformats.org/officeDocument/2006/relationships/hyperlink" Target="https://dalil.kg/document/59359" TargetMode="External"/><Relationship Id="rIdytdrl30xdb_kq5_rebfoa" Type="http://schemas.openxmlformats.org/officeDocument/2006/relationships/hyperlink" Target="https://dalil.kg/document/59782" TargetMode="External"/><Relationship Id="rIdwkvdqxxewlglgaijryyjs" Type="http://schemas.openxmlformats.org/officeDocument/2006/relationships/hyperlink" Target="https://dalil.kg/document/92083" TargetMode="External"/><Relationship Id="rIdxixictcdpwoly9aemxyql" Type="http://schemas.openxmlformats.org/officeDocument/2006/relationships/hyperlink" Target="https://dalil.kg/document/94196" TargetMode="External"/><Relationship Id="rIdspqu3jyua54rfvfqmmcqn" Type="http://schemas.openxmlformats.org/officeDocument/2006/relationships/hyperlink" Target="https://dalil.kg/document/160003" TargetMode="External"/><Relationship Id="rIdc_up1ngrno3ghu_beq8ts" Type="http://schemas.openxmlformats.org/officeDocument/2006/relationships/hyperlink" Target="https://dalil.kg/document/7614" TargetMode="External"/><Relationship Id="rIdkgreuvbvmhwvcicu_jhw3" Type="http://schemas.openxmlformats.org/officeDocument/2006/relationships/hyperlink" Target="https://dalil.kg/document/57960" TargetMode="External"/><Relationship Id="rId689ultdlotht3kv7fv0y2" Type="http://schemas.openxmlformats.org/officeDocument/2006/relationships/hyperlink" Target="https://dalil.kg/document/57960" TargetMode="External"/><Relationship Id="rIdn6tqlxn9lpxitlp9rthxi" Type="http://schemas.openxmlformats.org/officeDocument/2006/relationships/hyperlink" Target="https://dalil.kg/document/92083" TargetMode="External"/><Relationship Id="rIdc_n2tt5kltb_fyfxwymic" Type="http://schemas.openxmlformats.org/officeDocument/2006/relationships/hyperlink" Target="https://dalil.kg/document/94196" TargetMode="External"/><Relationship Id="rIdauvr8ponxymlmhnp1u-w5" Type="http://schemas.openxmlformats.org/officeDocument/2006/relationships/hyperlink" Target="https://dalil.kg/document/160003" TargetMode="External"/><Relationship Id="rIdeaydjbs4hekqj-d9ozotu" Type="http://schemas.openxmlformats.org/officeDocument/2006/relationships/hyperlink" Target="https://dalil.kg/document/94196" TargetMode="External"/><Relationship Id="rIduvy8n4-xxoeneuzdkz8n2" Type="http://schemas.openxmlformats.org/officeDocument/2006/relationships/hyperlink" Target="https://dalil.kg/document/59782" TargetMode="External"/><Relationship Id="rIdgzbgih7tubqqmg6gxt6ad" Type="http://schemas.openxmlformats.org/officeDocument/2006/relationships/hyperlink" Target="https://dalil.kg/document/9419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0nv_6zmmnyjjsqmuexf" Type="http://schemas.openxmlformats.org/officeDocument/2006/relationships/hyperlink" Target="https://dalil.kg/document/59416" TargetMode="External"/><Relationship Id="rId5zaphicee0kv6rmyfey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2026-09-24T02:45:52.714Z</dcterms:created>
  <dcterms:modified xsi:type="dcterms:W3CDTF">2026-09-24T02:45:52.714Z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