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выпуске, размещении, обращении и погашении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ценных бумаг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qbgflwcpqtxzbzzsr-h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2012 года № 738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otpwd61f-pzcv6gp_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dtqmb8tuaud_an9r0zb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выпуске, размещении, обращении и погашении государственных ценных бумаг Кыргызской Республики (далее - Положение) определяет порядок выпуска, размещения, обращения и погашения государственных ценных бумаг Кыргызской Республики (далее - ГЦБ)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ГЦБ являются долговыми обязательствами, эмитируемыми Министерством финансов Кыргызской Республики (далее - Эмитент) от имени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bpgaw5pmjkxtqhbgqdm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Термины и определения,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и понимания настоящего Положения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форма торгов ГЦБ, при котором удовлетворение заявок производится на конкурентной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казначейские векселя (далее ГКВ)</w:t>
      </w:r>
      <w:r>
        <w:rPr>
          <w:rFonts w:ascii="Arial" w:cs="Arial" w:eastAsia="Arial" w:hAnsi="Arial"/>
          <w:sz w:val="24"/>
          <w:szCs w:val="24"/>
        </w:rPr>
        <w:t xml:space="preserve"> - краткосрочные, беспроцентные (дисконтные)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казначейские облигации (далее ГКО)</w:t>
      </w:r>
      <w:r>
        <w:rPr>
          <w:rFonts w:ascii="Arial" w:cs="Arial" w:eastAsia="Arial" w:hAnsi="Arial"/>
          <w:sz w:val="24"/>
          <w:szCs w:val="24"/>
        </w:rPr>
        <w:t xml:space="preserve"> - долгосрочные ГЦБ с процентным доходом (купоном);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Казначейские обязательства (далее – КО) </w:t>
      </w:r>
      <w:r>
        <w:rPr>
          <w:rFonts w:ascii="Arial" w:cs="Arial" w:eastAsia="Arial" w:hAnsi="Arial"/>
          <w:sz w:val="24"/>
          <w:szCs w:val="24"/>
        </w:rPr>
        <w:t xml:space="preserve">– долгосрочные ценные бумаги Министерства финансов Кыргызской Республики, номинированные в национальной валюте, выпускаемые для урегулирования обязательств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Кыргызской Республики, осуществляющее учет, хранение ценных бумаг, регистрацию перехода и подтверждение права собственности на ГЦБ, ведение реестра владельцев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(внеаукционное) размещение ГЦБ - неконкурентная продажа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Конкурентная продажа</w:t>
      </w:r>
      <w:r>
        <w:rPr>
          <w:rFonts w:ascii="Arial" w:cs="Arial" w:eastAsia="Arial" w:hAnsi="Arial"/>
          <w:sz w:val="24"/>
          <w:szCs w:val="24"/>
        </w:rPr>
        <w:t xml:space="preserve"> - продажа с указанием цены и количества ГЦБ, приобретаемых по указанной (заявленной) цене;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Купон </w:t>
      </w:r>
      <w:r>
        <w:rPr>
          <w:rFonts w:ascii="Arial" w:cs="Arial" w:eastAsia="Arial" w:hAnsi="Arial"/>
          <w:sz w:val="24"/>
          <w:szCs w:val="24"/>
        </w:rPr>
        <w:t xml:space="preserve">- процентный доход, начисляемый на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Неконкурентная продажа</w:t>
      </w:r>
      <w:r>
        <w:rPr>
          <w:rFonts w:ascii="Arial" w:cs="Arial" w:eastAsia="Arial" w:hAnsi="Arial"/>
          <w:sz w:val="24"/>
          <w:szCs w:val="24"/>
        </w:rPr>
        <w:t xml:space="preserve"> - продажа ГЦБ по средневзвешенной цене, сложившейся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по расчетам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Кыргызской Республики, осуществляющее денежные расчеты по сделкам с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Организатор торгов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Кыргызской Республики, осуществляющее операции по размещению, обращению и погашению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Обратный выкуп</w:t>
      </w:r>
      <w:r>
        <w:rPr>
          <w:rFonts w:ascii="Arial" w:cs="Arial" w:eastAsia="Arial" w:hAnsi="Arial"/>
          <w:sz w:val="24"/>
          <w:szCs w:val="24"/>
        </w:rPr>
        <w:t xml:space="preserve"> - операция по покупке Эмитентом ГЦБ, находящихся в обращении;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Обратная продажа</w:t>
      </w:r>
      <w:r>
        <w:rPr>
          <w:rFonts w:ascii="Arial" w:cs="Arial" w:eastAsia="Arial" w:hAnsi="Arial"/>
          <w:sz w:val="24"/>
          <w:szCs w:val="24"/>
        </w:rPr>
        <w:t xml:space="preserve"> - операция по продаже владельцем ГЦБ, находящихся в обращении;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Параметры выпуска</w:t>
      </w:r>
      <w:r>
        <w:rPr>
          <w:rFonts w:ascii="Arial" w:cs="Arial" w:eastAsia="Arial" w:hAnsi="Arial"/>
          <w:sz w:val="24"/>
          <w:szCs w:val="24"/>
        </w:rPr>
        <w:t xml:space="preserve"> - информация о выпуске ГЦБ: номер, дата, объем выпуска, дата погашения и другая информация характеризующая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ГЦБ</w:t>
      </w:r>
      <w:r>
        <w:rPr>
          <w:rFonts w:ascii="Arial" w:cs="Arial" w:eastAsia="Arial" w:hAnsi="Arial"/>
          <w:sz w:val="24"/>
          <w:szCs w:val="24"/>
        </w:rPr>
        <w:t xml:space="preserve"> - зачисление номинальной стоимости на счета держателей ГЦБ погашаемого выпуска;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выплат по купону</w:t>
      </w:r>
      <w:r>
        <w:rPr>
          <w:rFonts w:ascii="Arial" w:cs="Arial" w:eastAsia="Arial" w:hAnsi="Arial"/>
          <w:sz w:val="24"/>
          <w:szCs w:val="24"/>
        </w:rPr>
        <w:t xml:space="preserve"> - зачисление выплат по купону на счета держателей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лицо Эмитента</w:t>
      </w:r>
      <w:r>
        <w:rPr>
          <w:rFonts w:ascii="Arial" w:cs="Arial" w:eastAsia="Arial" w:hAnsi="Arial"/>
          <w:sz w:val="24"/>
          <w:szCs w:val="24"/>
        </w:rPr>
        <w:t xml:space="preserve"> - лицо, выступающее от имени Эмитента и обладающее соответствующими полномочиями, закрепленными официальным письмом, доверенностью или извещением;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Эмитент </w:t>
      </w: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Республики, выступающее от имени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n2vgek4e0vs07jk1thq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Общие условия выпуска, размещения, обращения и погашения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выпуска ГЦБ является финансирование текущего дефицита республиканского бюджета Кыргызской Республики и рефинансирование государственного долга, по которому наступает срок платежей</w:t>
      </w:r>
      <w:r>
        <w:rPr>
          <w:rFonts w:ascii="Arial" w:cs="Arial" w:eastAsia="Arial" w:hAnsi="Arial"/>
          <w:sz w:val="24"/>
          <w:szCs w:val="24"/>
        </w:rPr>
        <w:t xml:space="preserve">, а также развитие рынка государственных ценных бумаг, развитие экономики и финансирование инвестиционных и инфраструктурных проектов, погашение бюджетных обязательств перед юридическими и физическими лицами, осуществляющими коммерческую и некоммерческую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6pvvxorf2zkfmuzdbim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Объем каждого выпуска ГЦБ определяется Эмитентом, исходя из предельного объема, установленного на соответствующий год Законом Кыргызской Республики "О республиканском бюджете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ГЦБ могут быть представлены </w:t>
      </w:r>
      <w:r>
        <w:rPr>
          <w:rFonts w:ascii="Arial" w:cs="Arial" w:eastAsia="Arial" w:hAnsi="Arial"/>
          <w:sz w:val="24"/>
          <w:szCs w:val="24"/>
        </w:rPr>
        <w:t xml:space="preserve">ГКВ, ГКО И КО.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waibfjzyrynutngarbd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ГКВ имеют срок обращения от 1 до 12 месяцев, срок их обращения в днях должен быть всегда кратным 7, например: начиная с 28 дней по 1-месячным, и 364 днями по 12-месячным ГКВ. Номинальная стоимость одного ГКВ равна 100 сомам.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ГКВ производится в бездокументарной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ГКО имеют срок обращения свыше 1 года. Номинальная стоимость одного ГКО и параметры каждого выпуска определяются Эмитентом в момент выпуска ГКО. Выпуск ГКО производится в документарной и бездокументарной формах. Эмитент вправе осуществлять выпуск ГКО в национальной валюте Кыргызской Республики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qfgt3wjk-q10yo3wv0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 являются именными государственными ценными бумагами. Параметры КО определяются эмитентом и устанавливаются в каждом выпуске. КО выпускаются в бумажной форме и могут выступать в качестве залога, а также являются документом, дающим право в установленный срок на безусловное удовлетворение денежного требования, которое владелец КО пред</w:t>
      </w:r>
      <w:r>
        <w:rPr>
          <w:rFonts w:ascii="Arial" w:cs="Arial" w:eastAsia="Arial" w:hAnsi="Arial"/>
          <w:sz w:val="24"/>
          <w:szCs w:val="24"/>
        </w:rPr>
        <w:t xml:space="preserve">ъ</w:t>
      </w:r>
      <w:r>
        <w:rPr>
          <w:rFonts w:ascii="Arial" w:cs="Arial" w:eastAsia="Arial" w:hAnsi="Arial"/>
          <w:sz w:val="24"/>
          <w:szCs w:val="24"/>
        </w:rPr>
        <w:t xml:space="preserve">являет эмитенту.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s5rsor9scdhddqg9-jy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Отношения между Эмитентом, Организатором торгов, Оператором по расчетам и Депозитарием регулируются соответствующими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Правила размещения, обращения, проведения расчетов, организации учета ГЦБ определяются правовыми документами Организатора торгов, согласованными с Эмитентом, Оператором по расчетам и Депозитарием.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Привлечение Эмитентом услуг Организатора торгов, Депозитария и Оператора по расчетам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Владельцы ГЦБ могут совершать гражданско-правовые сделки с ГЦБ, за исключением ограничений,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налогообложения операций с ГЦБ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Эмитент обеспечивает опубликование сведений о планируемых объемах выпуска ГЦБ на следующий месяц в средствах массовой информации и/или на официальном web-сайте эмитента или официальном web-сайте Организатора торгов не позднее 30 числа текущего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e5qenk6bgbv5jiscein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Выпуск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Выпуск ГЦБ проводится с периодичностью, которая определяется Эмитентом. Параметры выпуска определяются Эмитентом. Каждый выпуск оформляется соответствующими документами, состав и формы которых определяются приказом Эмитента, утверждаются и подписываются уполномоченным лицом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случаях, когда день выпуска ГЦБ является нерабочим или праздничным днем в Кыргызской Республике, выпуск проводится на следующий рабочий день, при этом соответствующим образом сдвигается и дата погашения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Размещение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Размещение ГЦБ</w:t>
      </w:r>
      <w:r>
        <w:rPr>
          <w:rFonts w:ascii="Arial" w:cs="Arial" w:eastAsia="Arial" w:hAnsi="Arial"/>
          <w:sz w:val="24"/>
          <w:szCs w:val="24"/>
        </w:rPr>
        <w:t xml:space="preserve">, за исключением КО,</w:t>
      </w:r>
      <w:r>
        <w:rPr>
          <w:rFonts w:ascii="Arial" w:cs="Arial" w:eastAsia="Arial" w:hAnsi="Arial"/>
          <w:sz w:val="24"/>
          <w:szCs w:val="24"/>
        </w:rPr>
        <w:t xml:space="preserve"> на первичном рынке осуществляется Организатором торгов путем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q-lpq6nlmca_a05eemg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неполном размещении объявленного выпуска ГЦБ на проведенном аукционе, Эмитент имеет право повторно предложить неразмещенную часть объема объявленного выпуска на следующем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Аукцион проводится с периодичностью, которая определяется Эмитентом. Если день проведения аукциона приходится на нерабочий день, то аукцион проводится на следующий рабочий день. В случае совпадения этого рабочего дня с днем проведения расчетов по заявкам, принятым на аукционе, аукцион должен проводиться до наступления нерабочего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аукциона утверждаются Эмитентом. Эмитент утверждает результаты аукциона в следующих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удовлетворение заявок ограничивается 25% превышением объема выпуска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удовлетворение заявок обеспечивается в следующих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равна или превышает объемы объявленной эмиссии - минимальное удовлетворение заявок составляет 25 процентов объявленной эмиссии;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меньше объявленной эмиссии - минимальный объем удовлетворенных заявок устанавливается в пределах поданных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elpjs00s6v-acom3f_b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Эмитент имеет право отменить размещение ГЦБ (не удовлетворяет ни одной заявки):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участия в аукционе менее трех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средневзвешенная доходность принятых заявок превышает на 15% средневзвешенную доходность, сложившуюся на предыдущем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Эмитент может осуществлять дополнительное (внеаукционное) размещение ГЦБ сверх объявленного объема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осуществления дополнительного (внеаукционного) размещения ГЦБ определяется нормативными документами Организатора торгов, согласованными с Эмитентом, Оператором по расчетам и Депозитарием.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Эмитент оставляет за собой право использовать другие формы размещения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Обращение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Обращение ГЦБ начинается со дня, следующего за днем выпуска, и заканчивается днем, предшествующим дню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Эмитент может предложить обратный выкуп и соответственно обратную продажу ГЦБ, находящихся в обращении, по заявленным Эмитентом ценам и объемам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Правила обратного выкупа ГЦБ Эмитентом определяются правовыми документами Организатора торгов, согласованными с Эмитентом, Оператором по расчетам и Депозитарием.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Заключение гражданско-правовых сделок с ГЦБ на вторичном рынке допускается только в период их обращения в рабочие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Погашение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Погашение ГЦБ и условия выплат по купону определяет Эмитент, в момент выпуска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день погашения ГЦБ и/или выплат по купону приходится на нерабочий день, погашение осуществляется на следующий рабочий день, при этом перерасчет суммы процентов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Правила погашения ГЦБ и выплат по купону определяются нормативными документами Организатора торгов, согласованными с Эмитентом, Оператором по расчетам и Депозитарием.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Выпуск и погашение КО осуществляются в соответствии с решениями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c0j8gvjkcmf0njs_eio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yirl7bbqm7nqiohlr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dalil.kg/document/59481</w:t>
      </w:r>
    </w:hyperlink>
  </w:p>
  <w:p>
    <w:pPr>
      <w:spacing w:after="0" w:before="40"/>
      <w:jc w:val="center"/>
    </w:pPr>
    <w:hyperlink w:history="1" r:id="rIdxeuv4td6wtscnc4r9tq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gflwcpqtxzbzzsr-huo" Type="http://schemas.openxmlformats.org/officeDocument/2006/relationships/hyperlink" Target="https://dalil.kg/document/93985" TargetMode="External"/><Relationship Id="rIdbnotpwd61f-pzcv6gp__d" Type="http://schemas.openxmlformats.org/officeDocument/2006/relationships/hyperlink" Target="https://dalil.kg/document/98115" TargetMode="External"/><Relationship Id="rIddtqmb8tuaud_an9r0zbnc" Type="http://schemas.openxmlformats.org/officeDocument/2006/relationships/hyperlink" Target="https://dalil.kg/document/159956" TargetMode="External"/><Relationship Id="rIdbpgaw5pmjkxtqhbgqdmgl" Type="http://schemas.openxmlformats.org/officeDocument/2006/relationships/hyperlink" Target="https://dalil.kg/document/159956" TargetMode="External"/><Relationship Id="rIdn2vgek4e0vs07jk1thqwd" Type="http://schemas.openxmlformats.org/officeDocument/2006/relationships/hyperlink" Target="https://dalil.kg/document/159956" TargetMode="External"/><Relationship Id="rId6pvvxorf2zkfmuzdbim0g" Type="http://schemas.openxmlformats.org/officeDocument/2006/relationships/hyperlink" Target="https://dalil.kg/document/159956" TargetMode="External"/><Relationship Id="rIdwaibfjzyrynutngarbdhp" Type="http://schemas.openxmlformats.org/officeDocument/2006/relationships/hyperlink" Target="https://dalil.kg/document/159956" TargetMode="External"/><Relationship Id="rIdoqfgt3wjk-q10yo3wv0ys" Type="http://schemas.openxmlformats.org/officeDocument/2006/relationships/hyperlink" Target="https://dalil.kg/document/98115" TargetMode="External"/><Relationship Id="rIds5rsor9scdhddqg9-jyd5" Type="http://schemas.openxmlformats.org/officeDocument/2006/relationships/hyperlink" Target="https://dalil.kg/document/159956" TargetMode="External"/><Relationship Id="rIde5qenk6bgbv5jisceincs" Type="http://schemas.openxmlformats.org/officeDocument/2006/relationships/hyperlink" Target="https://dalil.kg/document/93986" TargetMode="External"/><Relationship Id="rIdq-lpq6nlmca_a05eemgzd" Type="http://schemas.openxmlformats.org/officeDocument/2006/relationships/hyperlink" Target="https://dalil.kg/document/159956" TargetMode="External"/><Relationship Id="rIdelpjs00s6v-acom3f_bx_" Type="http://schemas.openxmlformats.org/officeDocument/2006/relationships/hyperlink" Target="https://dalil.kg/document/98115" TargetMode="External"/><Relationship Id="rIdc0j8gvjkcmf0njs_eiomj" Type="http://schemas.openxmlformats.org/officeDocument/2006/relationships/hyperlink" Target="https://dalil.kg/document/15995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yirl7bbqm7nqiohlrcx" Type="http://schemas.openxmlformats.org/officeDocument/2006/relationships/hyperlink" Target="https://dalil.kg/document/59481" TargetMode="External"/><Relationship Id="rIdxeuv4td6wtscnc4r9tq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2026-09-25T05:41:25.978Z</dcterms:created>
  <dcterms:modified xsi:type="dcterms:W3CDTF">2026-09-25T05:41:25.978Z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