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мая 2009 года № 274            ПОСТАНОВЛЕНИЕ ПРАВИТЕЛЬСТВА КЫРГЫЗСКОЙ РЕСПУБЛИКИ              Об одобрении второго Национального сообщения              Кыргызской Республики по Рамочной Конвенции          Организации Объединенных Наций об изменении климата         Опубликован в газете "Эркинтоо" от 19 мая 2009 года № 38      В целях обеспечения выполнения обязательств Кыргызской Республики,в соответствии со статьей 4 </w:t>
      </w:r>
      <w:hyperlink w:history="1" r:id="rIdo2y_jzvfleuw5xza93q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Рамочной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ОбъединенныхНаций  об  изменении  климата от 9 мая 1992 года,  к которой КыргызскаяРеспублика присоединилась в соответствии с Законом Кыргызской Республи-ки  "О  присоединении Кыргызской Республики к Рамочной конвенции ООН обизменении климата и конвенции ЕЭК ООН  по  трансграничному  загрязнениювоздуха  на  большие  расстояния",  Правительство Кыргызской Республикипостановляет:     1. Одобрить  прилагаемое  второе  КыргызскойРеспублики по </w:t>
      </w:r>
      <w:hyperlink w:history="1" r:id="rIdjizuycdag_btexoo7wq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Рамочной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об  из-менении климата.     2. Государственному агентству по охране окружающей среды и лесномухозяйству  при  Правительстве  Кыргызской Республики совместно с Минис-терством иностранных дел Кыргызской Республики обеспечить представлениеНационального сообщения на сессии Конференции Сторон в 2009 году.     3. Настоящее постановление вступает в  силу  со  дня  официальногоопубликования.         4.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Премьер-министр Кыргызской Республики             И.Чудинов                                                       Одобрено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6 мая 2009 года № 274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ВТОРОЕ НАЦИОНАЛЬНОЕ СООБЩЕНИЕ</w:t>
      </w:r>
      <w:r>
        <w:rPr>
          <w:rFonts w:ascii="Arial" w:cs="Arial" w:eastAsia="Arial" w:hAnsi="Arial"/>
          <w:sz w:val="24"/>
          <w:szCs w:val="24"/>
        </w:rPr>
        <w:t xml:space="preserve">              Кыргызской Республики по Рамочной конвенции                    Организации Объединенных Наций                         об изменении климата      Кыргызская Республика расположена в пределах систем горных хребтовТянь-Шаня и Памиро-Алая. Средняя высота территории республики над уров-нем  моря  - 2630 м.  Около 93 процентов территории находится на высотевыше 1000 м,  85 процентов - выше 1500 м и около 42  процентов  выше  -3000 м над уровнем моря.     Численность населения в Кыргызской Республике на 1 января 2006 го-да составляет 5166,4 тыс.  человек.  Население на территории республикираспределено крайне неравномерно и большей частью сосредоточено  в  до-линно-предгорной климатической зоне,  которая относится к районам с ус-ловиями комфортного проживания и составляет около 20 процентов террито-рии республики. В этой зоне постоянно проживает подавляющая часть насе-ления, где в основном сосредоточена хозяйственная деятельность.     Альпийский тип  рельефа  с  разноориентированными горными хребтамиобусловил высокую изменчивость климата в пространстве и разделение тер-ритории Кыргызской Республики на четыре климатических региона.     Наблюдаемые среднегодовые температуры воздуха в приземном слое ко-леблются в диапазоне от +10 град. Цельсия (для высот менее 1000 м) до -5 град. Цельсия (для высот выше 3000 м) над уровнем моря.     По данным на 2003 год в республике площадь земли,  покрытой лесом,составляет 8649 кв.км,  а других лесных земель  (несомкнувшиеся  лесныекультуры,  лесные питомники,  плантации, редины и прочие, пригодные длялесовосстановления) - 3089 кв.км. Вертикальная поясность и разнообразиеклиматических зон обусловили, с одной стороны, большое разнообразие ле-сообразующих пород в лесных резервуарах,  и,  с другой стороны,  низкуюлесистость территории страны (4,32%). В республике в естественных усло-виях встречается до 30 пород древесной растительности и более 17  видовкустарников. Наиболее широко распространены арчовые и еловые леса, име-ющие относительно низкий коэффициент прироста биомассы.     На 2000 год объем ледников оценивается в 417,5 куб.км. Запасы водыв озерах республики составляют 1745 куб.км, из них 1731 куб.км сосредо-точены в озере Иссык-Куль,  вода которого является солоноватой и непри-годной для водоснабжения.  На территории республики насчитывается около5  тыс.  рек,  относящихся  к 8 гидрологическим бассейнам,  в том числеСыр-Дарья,  Аму-Дарья,  Чу,  Талас,  Или (Кар-Кыра), Тарим и бессточныеозера Иссык-Куль и Чатыркуль.  Суммарный многолетний среднегодовой реч-ной сток с территории республики по данным на 2000  год  оценивается  в48,6  куб.км потенциальные запасы пресных подземных вод Кыргызской Рес-публики - 13 куб.км.     Гидроэнергетический потенциал республики составляет 28828 тыс. кВтпо мощности и 249 млрд. кВт-ч по выработке электроэнергии в год среднейводности.     Прогнозные запасы угля оцениваются в более чем 2,2 млрд.  тонн прибалансовых запасах на 1 января 2006 года - 1316,9 млн. тонн (750,7 млн.тонн условного топлива). Максимальный объем добычи в 1979 году снизилсяс 4508 тыс. тонн до 314,3 тыс. тонн в 2006 году.     Промышленные запасы нефти составляют 11,6 млн.  тонн, а природногогаза - 4,9 млрд.  куб.м.  Добыча нефти и природного газа имеет незначи-тельные объемы и за период 1991-2007 годы снизилась в 2,2 раза (по неф-ти)  и  в 6,4 раза (по газу).  Собственными нефтепродуктами и природнымгазом республика обеспечена менее,  чем на 5 процентов и в значительнойстепени зависит от внешних поставок.     В целом обеспеченность топливно-энергетическими ресурсами Кыргызс-кой  Республики в 2005 году составляла 77,57 процентов.  Потенциал сол-нечной энергии с 1 кв.м - 500-600 Вт/час (летом) и 300-400 Вт/час  (зи-мой). Национальный потенциал производства биогаза может составить около200 тыс. куб.м, что эквивалентно примерно 5 ТДж энергии.     В период  с  1990  по 2006 годы в социально-экономическом развитииреспублики выделяются два этапа.  На первом (1991-1995 годы)  произошлорезкое  снижение  ВВП,  особенно  в  промышленности.  Для второго этапа(1996-2006 годы) характерен рост ВВП.  В тоже время значительно измени-лась структура экономики республики в сторону увеличения доли сферы ус-луг за счет других секторов.     Горный рельеф республики и отсутствие судоходных рек предопредели-ли доминирующую роль автомобильного транспорта во  внутренних  перевоз-ках. На внешних перевозках в северном направлении (СНГ, Европа) ведущуюроль играет железнодорожный транспорт.  Начиная с 1995 года значительноувеличивается грузо- и пассажирооборот.                             Инвентаризация      Инвентаризация антропогенных  эмиссий  и  абсорбции  поглотителямипарниковых газов была проведена,  в период с 2001 по 2005 годы. Во всехсекторах  был  произведен пересчет ранее полученных результатов (период1990-2000 годы), необходимость которого определялась как вновь получен-ными  исходными данными и данными о национальных коэффициентах эмиссии,так и уточнением ранее использованных алгоритмов расчета. Пересчет так-же  был необходим для полного решения задачи об оценке эмиссий и стоковв разрезе всех административных единиц  республики  (области  и  городареспубликанского подчинения).     Инвентаризация проведена в соответствии с действующими  рекоменда-циями по следующим разделам:     - энергетика;     - промышленные процессы;     - использование растворителей и другой продукции;     - сельское хозяйство;     - изменение землепользования и лесное хозяйство;     - отходы.     В процессе инвентаризации определялись эмиссии следующих  парнико-вых газов:     - диоксид углерода (CO2);     - метан (CH4);     - закись азота (N2O);     - гидрофторуглероды (ГФУ);     - перфторуглероды (ПФУ);     - гексафторид серы (SF6).     Определены также эмиссии газов-прекурсоров:     - оксид углерода (CO);     - оксиды азота (NOx);     - неметановые летучие органические соединения (НМЛОС);     - оксиды серы (SOx).     Также была  проведена оценка эмиссий парниковых газов в результатеиспользования бункерного топлива при международных перевозках и эмиссиядиоксида углерода от биомассы.     На всех стадиях инвентаризации (сбор  и  анализ  исходных  данных,расчеты, анализ результатов) выполнялись процедуры по обеспечению конт-роля и качества.     На рис.  1 представлено распределение эмиссии суммы парниковых га-зов по отдельным видам газов,  а на рис.  2 - по разделам.  Раздел "Ис-пользование растворителей" не приведен,  так как эмиссии парниковых га-зов не происходит.      Рис. 1. Суммарная эмиссия по всем парниковым газам с учетом ПГП.             На графике не приведена эмиссия ГФУ-134а, так как она             относительно незначительна      Характер тенденций суммарной эмиссии в некоторой степени  отражаетсостояние экономики страны.  Стабилизация после 1994 года, практически,на одном уровне при одновременном  росте  ВВП  определяется  изменениемструктуры ВВП за счет увеличения доли секторов, вносящих незначительныйвклад в эмиссии парниковых газов,  таких как сектор услуг.  Изменения враспределении  по газам и по разделам за период инвентаризации незначи-тельны. Основной вклад вносит диоксид углерода (76%), далее метан (23%)и закись азота (1%). Основная эмиссия диоксида углерода видна в разделе"Энергетика" (около 95%).  Эмиссия метана происходит в основном в сель-ском хозяйстве 62,9 процента, далее в разделах "Отходы" - 19,1 процентаи "Энергетика" - 17,8 процентов.  Изменения эмиссии метана по  годам  восновном  определяются  ее сокращением в разделах "Энергетика" и "Отхо-ды".  Наибольшая эмиссия закиси азота наблюдается в разделе "Отходы"  -49,4  процента,  далее в разделе "Энергетика" - 25,5 процентов и "Сель-ское хозяйство" - 24,8 процентов.      Рис. 2. Эмиссия суммы парниковых газов с учетом ПГП по разделам      Оценка эмиссий гексафторида серы,  гидрофторуглеродов и перфторуг-леродов в Кыргызской Республике выполняется впервые.  На основании ана-лиза установлено,  что из всех перечисленных выше веществ в  республикеприменяются только ГФУ,  а именно ГФУ-134а.  Основной сферой примененияГФУ является его использование в качестве хладагента в охлаждающем обо-рудовании. Для определения объемов ГФУ принята методология снизу-вверх,основанная на конкретных объемах потребления  предприятиями  обслужива-ния,  так  как  официальной статистикой и таможенными органами ввоз ре-гистрируется фрагментарно.  Для упрощения было сделано предположение  отом,  что весь объем потребления в конкретный год выбрасывался в атмос-феру.  Значимые величины эмиссии ГФУ-134а наблюдаются,  начиная с  2000года, в 2005 году - она составила 0,0095 Гг в CO2-эквиваленте.     На рис. 3 представлено распределение эмиссии суммы газов-прекурсо-ров по отдельным видам газов, а на рис. 4 - по разделам для всего пери-ода инвентаризации.  В разделе "Отходы"  эмиссии  газов-прекурсоров  непроисходит,  поэтому он не приводится. Характер тенденций только в раз-делах "Энергетика" и "Растворители" зависел от общего состояния  эконо-мики  страны (т.е.  происходило сокращение эмиссии),  в прочих разделахизменения определялись в хозяйственной деятельности и  наблюдался  дажерост эмиссии.     Резкий рост эмиссии неметановых летучих  органических  соединений,начиная с 2001 года,  определяется активизацией деятельности по асфаль-тированию дорог.      Рис. 3. Суммарная эмиссия газов-прекурсоров по отдельным газам      Рис. 4. Суммарная эмиссия газов-прекурсоров по разделам                            Базовые сценарии      Для оценки уязвимости,  прогноза национальных эмиссий и выбора мерпо смягчению разработаны климатический, макроэкономический и демографи-ческий базовые сценарии.  Из 48 климатических сценариев,  разработанныхМежправительственной  группой  экспертов по изменению климата,  выбранысценарии с умеренными экономическими  и  демографическими  показателямиA2-ASF и B2-MESSAGE.     Расчеты выполнены по трем основным расчетным областям и шести  до-полнительным, используемым для интерполяции.      Таблица 1. Координаты расчетных областей на территории Кыргызской                Республики -----------------------------------------------------------------------|      Расчетная область       |               Координаты             ||                              |--------------------------------------||                              | Северная широта  | Восточная долгота ||------------------------------|------------------|-------------------||Северо-восток                 |   40-45 град.    |    70-75 град.    ||------------------------------|------------------|-------------------||Внутренний Тянь-Шань          |   40-45 град.    |    75-80 град.    ||------------------------------|------------------|-------------------||Юго-запад                     |   35-40 град.    |    70-75 град.    ||------------------------------|------------------|-------------------||Дополнительный 1              |   45-50 град.    |    70-75 град.    ||------------------------------|------------------|-------------------||Дополнительный 2              |   45-50 град.    |    75-80 град.    ||------------------------------|------------------|-------------------||Дополнительный 3              |   40-45 град.    |    65-70 град.    ||------------------------------|------------------|-------------------||Дополнительный 4              |   40-45 град.    |    80-85 град.    ||------------------------------|------------------|-------------------||Дополнительный 5              |   35-40 град.    |    65-70 град.    ||------------------------------|------------------|-------------------||Дополнительный 6              |   35-40 град.    |    75-80 град.    |-----------------------------------------------------------------------     Использованы все 17 глобальных климатических моделей,  рекомендуе-мых Межправительственной группой экспертов по  изменению  климата.  Длякаждой  расчетной области и двух принятых сценариев построены среднемо-дельные зависимости изменения температуры и осадков по месяцам с  выде-лением минимальных и максимальных значений.      Таблица 2. Рост среднегодовых значений температур в 2100 году для                территории Кыргызской Республики по отношению                к базовому периоду 1961-1990 годы -----------------------------------------------------------------------|   Координаты расчетной    |        A2-ASF      |     B2-MESSAGE     ||         области           |--------------------|--------------------||                           |Диапазон по|Средний |Диапазон по|Средний ||                           |  моделям  |  рост  |  моделям  |  рост  ||---------------------------|-----------|--------|-----------|--------||40-45 град. с.ш., 70-75    |4,7-7,8    |6,2     |3,6-5,8    |4,6     ||град. в.д.                 |град.      |град.   |град.      |град.   ||                           |Цельсия    |Цельсия |Цельсия    |Цельсия ||---------------------------|-----------|--------|-----------|--------||40-45 град. с.ш., 75-80    |4,5-8,2    |6,1     |3,5-6,0    |4,6     ||град. в.д.                 |град.      |град.   |град.      |град.   ||                           |Цельсия    |Цельсия |Цельсия    |Цельсия ||---------------------------|-----------|--------|-----------|--------||35-40 град. с.ш., 70-75    |5,1-8,4    |6,2     |3,8-6,1    |4,6     ||град. в.д.                 |град.      |град.   |град.      |град.   ||                           |Цельсия    |Цельсия |Цельсия    |Цельсия |-----------------------------------------------------------------------     Следует отметить, что наибольшим повышение температуры ожидается влетний период, а наименьшим - в зимний период.      Таблица 3. Изменения годовых сумм осадков к 2100 году                на территории Кыргызской Республики по отношению                к базовому периоду 1961-1990 годы -----------------------------------------------------------------------|Координаты расчетной |         A2-ASF        |       B2-MESSAGE      ||      области        |-----------------------|-----------------------||                     | Диапазон по | Среднее | Диапазон по | Среднее ||                     |   моделям   |изменение|   моделям   |изменение||---------------------|-------------|---------|-------------|---------||40-45 град. с.ш.,    |(-)41,8-48,0%|    2,1% |(-)27,2-24,0 |    2,1% ||70-75 град. в.д.     |             |         |             |         ||---------------------|-------------|---------|-------------|---------||40-45 град. с.ш.,    |(-)25,9-59,9%|    1,3% |(-)16,7-40,9 |    1,3% ||75-80 град. в.д.     |             |         |             |         ||---------------------|-------------|---------|-------------|---------||35-40 град. с.ш.,    |(-)43,4-28,7%| (-)2,0% |(-)30,9-17,5 | (-)3,1% ||70-75 град. в.д.     |             |         |             |         |-----------------------------------------------------------------------     В целом  как  для годовых,  так и для сезонных изменений выпаденияосадков, ожидаются незначительные изменения годовых сумм по отношению кбазовому периоду 1961-1990 годов,  на фоне возможных значительных коле-баний как в сторону уменьшения,  так и в сторону  увеличения  для  всехрасчетных  областей  Кыргызской Республики.  Наибольшее расхождение дляразличных моделей наблюдается в летний  период.  Наиболее  существенныможидается снижение осадков в летний период,  а наибольший рост - в зим-ний.     Макроэкономические сценарии основаны на трех вариантах в соответс-твии со "Стратегией развития страны",  учетом дальнейшего снижения тем-пов экономического развития (согласно прогнозам международных организа-ций) и влияния общей тенденции роста цен на энергоносители  на  мировомрынке,  а также других факторов.  Первый сценарий предполагает снижениесреднегодовых темпов роста ВВП до 104 процентов к 2020 году  и  до  103процентов  -  к  2100 году.  Во втором сценарии предполагается снижениесреднегодовых темпов роста ВВП к 2020 году до 103 процентов  и  до  102процентов  -  к  2100 году.  В третьем сценарии предполагается снижениесреднегодовых темпов роста ВВП к 2020 году до 102 процентов  и  до  101процента - к 2100 году.     По демографическому сценарию предполагается, что максимальный ростчисленности населения республики будет достигнут в 2050 году,  а к 2100году численность населения республики несколько снизится, но будет вышепо сравнению с 2005 годом.  Это обусловлено тем,  что в Кыргызстане,  внекоторой степени,  сохранятся условия и традиции, способствующие повы-шению  деторождаемости.  Также ожидается изменение возрастной структурынаселения,  в сторону увеличения численности лиц более старшего возрас-та, а также увеличения продолжительности жизни.                  Оценка уязвимости к изменению климата                          и меры по адаптации      Основываясь на международном опыте и ранее проведенных  националь-ных  исследованиях,  в  качестве  наиболее уязвимых к изменению климатасекторов, были определены следующие:     - водные ресурсы (параметры ледников,  объем поверхностного стока,параметры озер);     - здоровье населения (заболеваемость и смертность);     - сельское хозяйство (теплообеспеченность,  урожайность  различныхвидов сельскохозяйственных культур и пастбищ);     - климатические чрезвычайные ситуации  (частота  селей,  оползней,прорывов высокогорных озер, лавин).     Оценки уязвимости для ледников и объема поверхностного  стока  вы-полнены  с  использованием комплекса цифровых моделей рельефа и условийувлажнения территории суши Кыргызстана,  разработанных в Институте вод-ных  проблем  и  гидроэнергетики  Национальной академии наук КыргызскойРеспублики.      Таблица 4. Результаты моделирования эволюции оледенения для                наиболее вероятных вариантов климатических изменений                (dT - изменение среднегодовой температуры в град.                Цельсия, m - отношение годовой суммы осадков к базовому                периоду) -----------------------------------------------------------------------|               dT (град. Цельсия)       |              2,96          ||       ---------------------------------|----------------------------||   M   |           Параметр             |     2050     |     2100    ||-------|--------------------------------|--------------|-------------||   1   |               2                |       3      |       4     ||-------|--------------------------------|--------------|-------------||1,16   |Количество                      |              |             ||       |--------------------------------|              |             ||       |Площадь, кв.км                  |              |             ||       |--------------------------------|              |             ||       |Объем, куб.км                   |              |             ||       |--------------------------------|              |             ||       |Толщина, м                      |              |             ||-------|--------------------------------|--------------|-------------||1,06   |Количество                      |    3097      |   1484      ||       |--------------------------------|--------------|-------------||       |Площадь, кв.км                  |    3861,6    |   2428,1    ||       |--------------------------------|--------------|-------------||       |Объем, куб.км                   |     251,06   |    169,65   ||       |--------------------------------|--------------|-------------||       |Толщина, м                      |      65,01   |     69,87   ||-------|--------------------------------|--------------|-------------||0,96   |Количество                      |              |             ||       |--------------------------------|              |             ||       |Площадь, кв.км                  |              |             ||       |--------------------------------|              |             ||       |Объем, куб.км                   |              |             ||       |--------------------------------|              |             ||       |Толщина, м                      |              |             ||-------|--------------------------------|--------------|-------------||0,86   |Количество                      |              |             ||       |--------------------------------|              |             ||       |Площадь, кв.км                  |              |             ||       |--------------------------------|              |             ||       |Объем, куб.км                   |              |             ||       |--------------------------------|              |             ||       |Толщина, м                      |              |             ||-------|--------------------------------|--------------|-------------||0,76   |Количество                      |              |             ||       |--------------------------------|              |             ||       |Площадь, кв.км                  |              |             ||       |--------------------------------|              |             ||       |Объем, куб.км                   |              |             ||       |--------------------------------|              |             ||       |Толщина, м                      |              |             |----------------------------------------------------------------------------------------------------------------------------------------------|         3,96        |          4,96         |           5,96        ||---------------------|-----------------------|-----------------------||   2050   |   2100   |    2050    |   2100   |    2050   |    2100   ||----------|----------|------------|----------|-----------|-----------||     5    |     6    |      7     |     8    |     9     |     10    ||----------|----------|------------|----------|-----------|-----------||  2803    |  1446    |            |          |           |           ||----------|----------|            |          |           |           ||  3573,0  |  2320,7  |            |          |           |           ||----------|----------|            |          |           |           ||   233,49 |   161,77 |            |          |           |           ||----------|----------|            |          |           |           ||    65,35 |    69,71 |            |          |           |           ||----------|----------|------------|----------|-----------|-----------||  1958    |   721    |  1276      |   378    |   897     |   227     ||----------|----------|------------|----------|-----------|-----------||  2901,7  |  1529,9  |  2214,8    |  1039,1  |  1716,2   |   742,0   ||----------|----------|------------|----------|-----------|-----------||   197,24 |   115,39 |   157,14   |    83,15 |   126,87  |    61,89  ||----------|----------|------------|----------|-----------|-----------||    67,97 |    75,42 |    70,95   |    80,02 |    73,92  |    83,41  ||----------|----------|------------|----------|-----------|-----------||  1442    |   397    |   988      |   238    |   651     |   142     ||----------|----------|------------|----------|-----------|-----------||  2395,2  |  1092,0  |  1861,0    |   783,3  |  1453,6   |   571,5   ||----------|----------|------------|----------|-----------|-----------||   168,89 |    87,52 |   136,44   |    65,44 |   111,23  |    49,25  ||----------|----------|------------|----------|-----------|-----------||    70,51 |    80,15 |    73,31   |    83,55 |    76,52  |    86,17  ||----------|----------|------------|----------|-----------|-----------||  1071    |   251    |   741      |   152    |   508     |    87     ||----------|----------|------------|----------|-----------|-----------||  2014,7  |  8276,0  |  1573,2    |   609,0  |  1258,8   |   452,3   ||----------|----------|------------|----------|-----------|-----------||   146,63 |    69,18 |   119,37   |    52,47 |    99,06  |    39,75  ||----------|----------|------------|----------|-----------|-----------||    72,78 |    83,66 |    75,88   |    86,16 |    78,70  |    87,89  ||----------|----------|------------|----------|-----------|-----------||          |          |            |          |   402     |    59     ||          |          |            |          |-----------|-----------||          |          |            |          |  1104,6   |   362,4   ||          |          |            |          |-----------|-----------||          |          |            |          |   89,06   |    32,21  ||          |          |            |          |-----------|-----------||          |          |            |          |   80,63   |    88,87  |-----------------------------------------------------------------------      Таблица 5. Результаты моделирования поверхностного стока для                Кыргызстана в целом (dT - изменение среднегодовой                температуры в град. Цельсия, m - отношение годовой                суммы осадков к базовому периоду) -----------------------------------------------------------------------|dT (град. Цельсия)   |    2,72   |    3,72   |    4,72   |    5,72   ||m                    |-----------|-----------|-----------|-----------||                     |2050 |2100 |2050 |2100 |2050 |2100 |2050 |2100 ||---------------------|-----|-----|-----|-----|-----|-----|-----|-----||1,16                 |     |     |     |     |43,78|42,42|     |     ||---------------------|-----|-----|-----|-----|-----|-----|-----|-----||1,06                 |43,68|41,31|41,67|38,44|39,86|36,17|     |     ||---------------------|-----|-----|-----|-----|-----|-----|-----|-----||0,96                 |     |     |37,74|32,19|36,15|30,45|34,75|29,04||---------------------|-----|-----|-----|-----|-----|-----|-----|-----||0,86                 |     |     |     |     |32,65|25,22|31,45|24,1 ||---------------------|-----|-----|-----|-----|-----|-----|-----|-----||0,76                 |     |     |     |     |29,36|20,43|     |     |-----------------------------------------------------------------------     Из результатов  прогнозирования на долговременную перспективу сле-дует, что ожидается существенное снижение поверхностного стока для всехнаиболее вероятных климатических сценариев.     По всем наиболее вероятным климатическим сценариям сокращение  во-доотдачи  ледников окажет значительное влияние на внутригодовое распре-деление речного стока, существенно уменьшив его летний максимум и сдви-нув его на более ранние сроки.  Ледники, аккумулируя выпадающие в твер-дом виде атмосферные осадки,  практически круглый  год  отдают  большуючасть  воды  в наиболее важное для сельского хозяйства летнее время,  атакже увеличивают речной сток в жаркие маловодные периоды времени.     Изменение климата  может также значительно отразиться и на состоя-нии озер.  Так,  например, ожидается уменьшение площади акватории озераИссык-Куль  на  величину  от 232 до 1049 кв.км и снижение уровня воды возере - от 5,1 до 27,5 м по отношению к 2000 году. Для другого бессточ-ного озера Чатыр-Куль установлено, что при всех наиболее вероятных кли-матических сценариях,  оно скорее  всего  может  ежегодно  существоватьтолько в виде полностью пересыхающего небольшого водоема.     Детальные этапы адаптационного процесса для водных ресурсов должныбыть  конкретизированы  для  каждого региона,  но в любом случае общимидействиями являются:     - более эффективное и бережное управление ирригационными системамис целью сохранения и удержания воды;     - регулирование поверхностного стока и создание запасов воды в во-дохранилищах;     - использование  современных,  более  эффективных систем и режимовраспределения воды в целях снижения потерь;     - стимулирование  водопользователей к более эффективному использо-ванию имеющихся ресурсов за счет внедрения системы платного водопользо-вания.     В сельском хозяйстве, в первую очередь, изменение климата повлечетза собой изменение теплового режима (теплообеспеченность),  являющегосяодним из основных факторов при агроклиматическом районировании террито-рии.  Повышение  теплообеспеченности  существенно изменит и возможностивозделывания различных сельскохозяйственных культур:     - в  северо-западном регионе в 2100 году,  по сценарию A2-ASF,  навысотах до 1400 м климат будет от очень жаркого до умеренно жаркого,  апо сценарию B2-MESSAGE,  - на высотах до 1200 м. Продолжительность без-морозного периода по сценарию A2-ASF составит от 264 дней на высоте 600м и до 120 дней на высоте 3000 м;  по сценарию B2-MESSAGE на высоте 600м - 246 дней, а на высоте 3000 м - 103 дня;     - в северо-восточном регионе в 2100 году,  по сценарию A2-ASF,  напобережье озера Иссык-Куль до высоты 1800 м будет умеренно жаркий  кли-мат,  а  по  сценарию  B2-MESSAGE жаркого климата в котловине не будет.Продолжительность безморозного периода по сценарию A2-ASF  составит  от304 дней на высоте 1600 м и до 102 дней - на высоте 3000 м. По сценариюB2-MESSAGE она составит на высоте 1600 м 255 дней, а на высоте 3000 м -73 дня;     - во Внутреннем Тянь-Шане в 2100 году по сценарию A2-ASF  умеренножаркий климат будет на высотах до 1800 м, а по сценарию B2-MESSAGE жар-кого климата во Внутреннем Тянь-Шане не будет;     - в юго-западном регионе в 2100 году по сценарию A2-ASF на высотахдо 2000 м климат будет от очень жаркого до умеренно жаркого,  а по сце-нарию B2-MESSAGE такой климат будет на высотах до 1600 м. Продолжитель-ность безморозного периода по сценарию A2-ASF составит от 294  дней  навысоте 600 м до 161 дней - на высоте 3000 м. По сценарию B2-MESSAGE онасоставит на высоте 600 м 276 дней, а на высоте 3000 м - 144 дня.     В целом по республике существенно изменится распределение площадейс различной теплообеспеченностью. Так площадь территорий с теплообеспе-ченностью &gt;4000 град. Цельсия вырастет к 2100 году более, чем в 2 раза.За счет снижения увлажнения доля площадей аридной зоны пустынь и полуа-ридной зоны полупустынь может увеличиться приблизительно с 15,0 процен-тов в 2000 году и до 23,3-49,7 процентов в 2100 году.  Возможно сущест-венное уменьшение площадей и продуктивности высокогорных отгонных паст-бищ на сыртах Внутреннего Тянь-Шаня.  Для основных сельскохозяйственныхкультур и различных видов пастбищной растительности оценена зависимостьурожайности от ожидаемого изменения климатических показателей,  что яв-ляется основанием при выборе основных направлений адаптационных мер.     Основными направлениями адаптации являются следующие:     - технологическое  совершенствование  используемых  сельскохозяйс-твенных процессов;     - экономические  механизмы,  стимулирующие  деятельность отдельныхсобственников;     - определение  основных  путей государственной поддержки сельскогохозяйства.     На базе  статистических моделей произведен анализ связей измененияклимата и следующих медико-демографических показателей.     Результаты исследований  показывают значительную зависимость меди-ко-демографических показателей от изменения климата:     1. К 2100 году ожидается увеличение показателей заболеваемости на-селения острыми кишечными инфекциями.  Значения  ожидаемых  показателейзаболеваемости  острыми  кишечными инфекциями при сценарии A2-ASF могутдостичь к 2100 году 57,0 случаев на 100 тыс.  человек,  а для  сценарияB2-MESSAGE, естественно, несколько ниже - 54,4, т.е. рост составит 15,9процента и 10,6 процента соответственно, относительно базовых показате-лей заболеваемости в 2005 году.     2. Существенно увеличится заболеваемость органов системы  кровооб-ращения  относительно  2005  года (Чуйская область - на 69,6 процента и45,6 процента для сценариев A2-ASF  и  B2-MESSAGE  соответственно;  Ис-сык-Кульская  область - на 13,5 процента и 8,3 процента - для сценариевA2-ASF и B2-MESSAGE соответственно;  Джалал-Абадская область - на  73,2процента  и  37,6  процента для сценариев A2-ASF и B2-MESSAGE соответс-твенно). Ожидается примерно одинаковый рост заболеваемости для северныхи  южных  регионов республики.  Менее значительный рост (даже некотороеуменьшение для сценария B2-MESSAGE) заболеваемости в Иссык-Кульской об-ласти  объясняется  существенным отличием климатических условий вследс-твие сглаживающего воздействия озера Иссык-Куль на экстремальные темпе-ратуры.     3. Повысится уровень заболеваемости злокачественными новообразова-ниями  у женщин (примерно на 7 процентов,  по сравнению с 2000 годом) иснизится у мужчин.     4. В  2100 году ожидается рост показателя смертности среди населе-ния от болезней органов системы кровообращения относительно 2005 года.     Основные меры  по  адаптации  здравоохранения  к изменению климатадолжны включать в себя:     - расширение научно-исследовательских работ по проблеме оценки не-гативного воздействия климатических  изменений  на  здоровье  населенияреспублики и обоснование соответствующих мер профилактики и адаптации;     - регулярную подготовку национальных докладов по  оценке  воздейс-твия климатических изменений на здоровье населения республики;     - повышение уровня информированности специалистов и  общественнос-ти;     - совершенствование системы образования  и  обучения  специалистовэпидемиологического надзора и общественного здравоохранения;     - разработку Национального  плана  действий  по  предупреждению  иуменьшению  негативного воздействия климатических изменений на здоровьенаселения Кыргызской Республики.     Учитывая, что  территория Кыргызской Республики,  как высокогорнойстраны,  в значительной степени подвержена воздействию опасных  природ-но-климатических процессов и явлений,  на основе статистических моделейпроизведена оценка возможного прогноза развития  чрезвычайных  ситуацийна период до 2100 года.  Рассмотрены оценки уязвимости от оползней, се-лей, паводков и прорывов высокогорных озер, лавин.     Оценка уязвимости  производилась для трех основных регионов (Цент-рального,  Северного и Южного), традиционно выделяемых в республике примониторинге  и анализе чрезвычайных ситуаций.  Сели,  паводки и прорывывысокогорных озер объединены в одну категорию,  так как прорывы высоко-горных  озер весьма редкое явление и моделирование его отдельно затруд-нительно.  Результаты расчетов на период до 2100 года позволили сделатьследующие выводы:     - для Южного региона вероятность оползней по сценарию A2-ASF прак-тически  не  изменится,  а по сценарию B2-MESSAGE несколько увеличится.Вероятность селей,  паводков и прорывов высокогорных озер по  сценариямA2-ASF и B2-MESSAGE возрастет в несколько раз. Для всех сценариев веро-ятность лавин увеличится в Чаткальском районе, а в Токтогульском районе- значительно снизится;     - для Центрального региона вероятность селей,  паводков и прорывоввысокогорных  озер по сценариям A2-ASF и B2-MESSAGE значительно снизит-ся. Вероятность лавин незначительно возрастет;     - для Северного региона вероятность селей, паводков и прорывов вы-сокогорных озер по сценариям A2-ASF и B2-MESSAGE значительно  снизится.Вероятность лавин существенно возрастет.     Меры по адаптации фактически являются результатом развития сущест-вующего  комплекса  мер по предотвращению чрезвычайных ситуаций (допол-ненное обоснованной возможностью перераспределения средств по  предотв-ращению чрезвычайных ситуаций по наиболее опасным направлениям), основ-ными компонентами которых являются:     - пространственное  планирование  для  всех природных чрезвычайныхситуаций, заключающееся в определении зон повышенной опасности и требо-ваний по использованию этих зон;     - инженерные мероприятия, направленные на ликвидацию не только ис-точника опасности, но и его предпосылок;     - законодательные меры,  определяющие  нормы  и  правила,  которыеобеспечивают основу для проведения, в первую очередь, пространственногопланирования и инженерных мероприятий;     - информирование  и обучение в области предотвращения чрезвычайныхситуаций для исключения необоснованных решений с учетом ожидаемых  кли-матических изменений.                 Меры по смягчению воздействия на климат      Произведен расчет  эмиссий  парниковых  газов для трех предположи-тельных сценариев развития республики:     А - без принятия мер по смягчению;     В - с учетом мер по смягчению, определенных планами развития;     С -  с учетом мер по смягчению,  определенных планами развития,  атакже дополнительных мер,  принятие которых необходимо  в  долгосрочнойперспективе.     Под дополнительными понимаются меры,  являющиеся предложениями длявключения  в последующие планы развития,  так как временной интервал до2100 года превышает интервал,  определенный  планами  развития.  Расчетпроизведен   с   использованием  программного  комплекса  LEAP,  версии2006.0015 на период 2010-2100 годы для 15 различных сценариев  развития(таблица 6),  отличающихся темпами ежегодного экономического роста рес-публики и объемом реализации мер.      Таблица 6. Рассмотренные сценарии развития -----------------------------------------------------------------------|             Реализуемые меры              |      Темпы роста ВВП    ||                                           |-------------------------||                                           |   3%   |   2%  |   1%   ||-------------------------------------------|--------|-------|--------||Без принятия мер                           |103А    |102А   |101А    ||-------------------------------------------|--------|-------|--------||При принятии мер, определенных планами     |103В1   |102В1  |101В1   ||развития                                   |        |       |        ||-------------------------------------------|--------|-------|--------||При принятии мер, определенных планами     |103В2   |102В2  |101В2   ||развития и вводе новых генерирующих        |        |       |        ||мощностей                                  |        |       |        ||-------------------------------------------|--------|-------|--------||При принятии мер, определенных планами     |103С1   |102С1  |101С1   ||развития, а также дополнительных мер       |        |       |        ||-------------------------------------------|--------|-------|--------||При принятии мер, определенных планами     |103С2   |102С2  |101С2   ||развития и вводе новых генерирующих        |        |       |        ||мощностей, а также дополнительных мер      |        |       |        |-----------------------------------------------------------------------     По результатам расчета можно сделать следующие выводы о возможнос-ти выполнения обязательств по снижению эмиссий парниковых газов:     - рост экономики не приведет к аналогичному росту эмиссий, за счетожидаемого существенного изменения структуры ВВП. Выполнение обязатель-ств по Рамочной конвенции без принятия мер возможно,  в случае экономи-ческого роста не более чем на 1 процент;     - планируемые  правительственные меры (сценарии В1 и В2) обеспечатвыполнение обязательств для экономического роста до 3 процентов;     - дополнительные меры (сценарии С1 и С2) могут обеспечить выполне-ние обязательств для ежегодного экономического роста в 3 процента;     - выполнение  обязательств по сокращению эмиссий парниковых газов,при темпах экономического роста, превышающих 3 процента, возможно толь-ко при расширении перечня дополнительных мер.     Оценка обеспеченности республики собственными энергетическими  ре-сурсами  показала,  что для всех сценариев,  несмотря на предполагаемоеувеличение собственной добычи,  сохранится традиционный импорт ископае-мых видов топлива (уголь, природный газ и нефтепродукты). В зависимостиот темпов экономического развития может возникнуть дефицит электроэнер-гии, необеспеченный собственным производством:     - без принятия мер (сценарий А) после 2010 г. республика будет вы-нуждена импортировать электроэнергию, даже при темпах ежегодного эконо-мического роста в 1 процент;     - в случае ввода генерирующих мощностей и реализации мер по сцена-риям В1 и С1 импорт электроэнергии будет необходим после 2030-2050  го-дов;     - с вводом дополнительных генерирующих мощностей и реализации  мерпо  сценариям В2 и С2 при темпах экономического роста менее 3 процентовреспублика полностью обеспечивает собственные потребности  в  электроэ-нергии.  Необходимость  в импорте электроэнергии возникнет только после2060 года при темпах ежегодного экономического роста &gt;=3 процентов.                Информация по достижению целей конвенции      В области передачи необходимых технологий проведена  аналитическаяоценка,  позволившая приступить к реализации конкретных действий,  нап-равленных на снижение эмиссий парниковых газов и увеличение  стоков.  Сучетом  изменений в исходных данных был повторен ретроспективный анализизменений температуры за весь период инструментальных метеорологическиенаблюдений.  Согласно полученной оценке,  средний температурный тренд вцелом по всей территории Кыргызской Республики составляет  0,785  град.Цельсия на 100 лет.     В республике создан Национальный комитет по последствиям измененияклимата,  с  возложением  на него функций уполномоченного национальногооргана по механизму чистого развития. Комитет является межведомственнымкоординирующим органом,  включающим в себя представителей всех ключевыхпартнеров в республике.     В плане совершенствования правового обеспечения приняты Закон Кыр-гызской Республики "О государственном регулировании и политике в облас-ти эмиссии и поглощения парниковых газов",  Концепция экологической бе-зопасности Кыргызской Республики, внесены изменения в Законы КыргызскойРеспублики  "Об охране окружающей среды" и "Об охране атмосферного воз-духа",  приняты постановления Правительства Кыргызской Республики о ме-рах по выполнению Рамочной конвенции ООН об изменении климата.     Проведенная оценка национального потенциала по исполнению глобаль-ных  экологических  конвенций  позволила выявить барьеры,  сдерживающиеразвитие потенциала и подготовить Стратегический план действий  по  егонаращиванию  в Кыргызстане для реализации глобальных экологических кон-венций.     Для повышения информированности общественности проведен ряд нацио-нальных конференций,  семинаров,  круглых столов и тренингов для нацио-нальных  экспертов  по  вопросам изменения климата.  Проблема измененияклимата регулярно освещалась в средствах массовой информации и на  спе-циализированных сайтах.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2y_jzvfleuw5xza93qe0" Type="http://schemas.openxmlformats.org/officeDocument/2006/relationships/hyperlink" Target="http://kodeks.duckdns.org/document/17198" TargetMode="External"/><Relationship Id="rIdjizuycdag_btexoo7wqhm" Type="http://schemas.openxmlformats.org/officeDocument/2006/relationships/hyperlink" Target="http://kodeks.duckdns.org/document/1719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2026-09-23T15:05:54.194Z</dcterms:created>
  <dcterms:modified xsi:type="dcterms:W3CDTF">2026-09-23T15:05:54.194Z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