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8 января 2021 года № 23</w:t>
      </w:r>
    </w:p>
    <w:p>
      <w:pPr>
        <w:spacing w:after="120"/>
        <w:jc w:val="both"/>
      </w:pPr>
      <w:r>
        <w:rPr>
          <w:rFonts w:ascii="Arial" w:cs="Arial" w:eastAsia="Arial" w:hAnsi="Arial"/>
          <w:sz w:val="24"/>
          <w:szCs w:val="24"/>
        </w:rPr>
        <w:t xml:space="preserve">О внесении изменений в </w:t>
      </w:r>
      <w:hyperlink w:history="1" r:id="rIdk3l8i-5evp8kbsq9m8dw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и порядке голосования, установления итогов голосования и определении результатов референдума избирательными комиссиями при проведении референдума Кыргызской Республики", утвержденное постановлением Центральной комиссии по выборам и проведению референдумов Кыргызской Республики от 13 ноября 2016 года № 203</w:t>
      </w:r>
    </w:p>
    <w:p>
      <w:pPr>
        <w:spacing w:after="120"/>
        <w:jc w:val="both"/>
      </w:pPr>
      <w:r>
        <w:rPr>
          <w:rFonts w:ascii="Arial" w:cs="Arial" w:eastAsia="Arial" w:hAnsi="Arial"/>
          <w:sz w:val="24"/>
          <w:szCs w:val="24"/>
        </w:rPr>
        <w:t xml:space="preserve">В соответствии с конституционным </w:t>
      </w:r>
      <w:hyperlink w:history="1" r:id="rIdrbxda7kqdsc-nch7k4xe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референдуме Кыргызской Республики", руководствуясь статьями </w:t>
      </w:r>
      <w:hyperlink w:history="1" r:id="rIdw7rruddqiqdt_ud52d2wf">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nbg16le2usa6hg3ni_2wf">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wgkfexfzf9usust4nscoa">
        <w:r>
          <w:rPr>
            <w:rFonts w:ascii="Arial" w:cs="Arial" w:eastAsia="Arial" w:hAnsi="Arial"/>
            <w:color w:val="1D4ED8"/>
            <w:sz w:val="24"/>
            <w:szCs w:val="24"/>
            <w:u w:val="single"/>
          </w:rPr>
          <w:t xml:space="preserve">18</w:t>
        </w:r>
      </w:hyperlink>
      <w:hyperlink w:history="1" r:id="rIdmdd5ihwws6ejwq16oitj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в целях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конституционным </w:t>
      </w:r>
      <w:hyperlink w:history="1" r:id="rId4vant48xjwyei9c0alvj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референдуме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1. Внести следующие изменения в </w:t>
      </w:r>
      <w:hyperlink w:history="1" r:id="rIdayb6lh6rxvkoypavpznt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и порядке голосования, установления итогов голосования и определении результатов референдума избирательными комиссиями при проведении референдума Кыргызской Республики", утвержденное </w:t>
      </w:r>
      <w:hyperlink w:history="1" r:id="rIdqkzrvjfckzmhni1e02n1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13 ноября 2016 года № 203:</w:t>
      </w:r>
    </w:p>
    <w:p>
      <w:pPr>
        <w:spacing w:after="120"/>
        <w:jc w:val="both"/>
      </w:pPr>
      <w:r>
        <w:rPr>
          <w:rFonts w:ascii="Arial" w:cs="Arial" w:eastAsia="Arial" w:hAnsi="Arial"/>
          <w:sz w:val="24"/>
          <w:szCs w:val="24"/>
        </w:rPr>
        <w:t xml:space="preserve">1) пункт 2.4 дополнить абзацем вторым следующего содержания:</w:t>
      </w:r>
    </w:p>
    <w:p>
      <w:pPr>
        <w:spacing w:after="120"/>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тайного голосования. Кабины для голосования должны соответствовать параметрам, позволяющим участникам референдума,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120"/>
        <w:jc w:val="both"/>
      </w:pPr>
      <w:r>
        <w:rPr>
          <w:rFonts w:ascii="Arial" w:cs="Arial" w:eastAsia="Arial" w:hAnsi="Arial"/>
          <w:sz w:val="24"/>
          <w:szCs w:val="24"/>
        </w:rPr>
        <w:t xml:space="preserve">2) пункт 2.5 изложить в следующей редакции:</w:t>
      </w:r>
    </w:p>
    <w:p>
      <w:pPr>
        <w:spacing w:after="120"/>
        <w:jc w:val="both"/>
      </w:pPr>
      <w:r>
        <w:rPr>
          <w:rFonts w:ascii="Arial" w:cs="Arial" w:eastAsia="Arial" w:hAnsi="Arial"/>
          <w:sz w:val="24"/>
          <w:szCs w:val="24"/>
        </w:rPr>
        <w:t xml:space="preserve">"2.5. При совмещении дня голосования на референдуме с днем голосования на выборах устанавливаются две автоматически считывающие урны (одна автоматически считывающая урна для голосования на референдуме, а другая для голосования на выборах).";</w:t>
      </w:r>
    </w:p>
    <w:p>
      <w:pPr>
        <w:spacing w:after="120"/>
        <w:jc w:val="both"/>
      </w:pPr>
      <w:r>
        <w:rPr>
          <w:rFonts w:ascii="Arial" w:cs="Arial" w:eastAsia="Arial" w:hAnsi="Arial"/>
          <w:sz w:val="24"/>
          <w:szCs w:val="24"/>
        </w:rPr>
        <w:t xml:space="preserve">3) пункт 2.7 дополнить абзацем вторым следующего содержания:</w:t>
      </w:r>
    </w:p>
    <w:p>
      <w:pPr>
        <w:spacing w:after="120"/>
        <w:jc w:val="both"/>
      </w:pPr>
      <w:r>
        <w:rPr>
          <w:rFonts w:ascii="Arial" w:cs="Arial" w:eastAsia="Arial" w:hAnsi="Arial"/>
          <w:sz w:val="24"/>
          <w:szCs w:val="24"/>
        </w:rPr>
        <w:t xml:space="preserve">"Для информирования участников референдума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120"/>
        <w:jc w:val="both"/>
      </w:pPr>
      <w:r>
        <w:rPr>
          <w:rFonts w:ascii="Arial" w:cs="Arial" w:eastAsia="Arial" w:hAnsi="Arial"/>
          <w:sz w:val="24"/>
          <w:szCs w:val="24"/>
        </w:rPr>
        <w:t xml:space="preserve">4) пункт 2.8:</w:t>
      </w:r>
    </w:p>
    <w:p>
      <w:pPr>
        <w:spacing w:after="120"/>
        <w:jc w:val="both"/>
      </w:pPr>
      <w:r>
        <w:rPr>
          <w:rFonts w:ascii="Arial" w:cs="Arial" w:eastAsia="Arial" w:hAnsi="Arial"/>
          <w:sz w:val="24"/>
          <w:szCs w:val="24"/>
        </w:rPr>
        <w:t xml:space="preserve">- слова "об административных правонарушениях" заменить на слова "о нарушениях";</w:t>
      </w:r>
    </w:p>
    <w:p>
      <w:pPr>
        <w:spacing w:after="120"/>
        <w:jc w:val="both"/>
      </w:pPr>
      <w:r>
        <w:rPr>
          <w:rFonts w:ascii="Arial" w:cs="Arial" w:eastAsia="Arial" w:hAnsi="Arial"/>
          <w:sz w:val="24"/>
          <w:szCs w:val="24"/>
        </w:rPr>
        <w:t xml:space="preserve">- после слов "ответственность за нарушение" дополнить словом "избирательного";</w:t>
      </w:r>
    </w:p>
    <w:p>
      <w:pPr>
        <w:spacing w:after="120"/>
        <w:jc w:val="both"/>
      </w:pPr>
      <w:r>
        <w:rPr>
          <w:rFonts w:ascii="Arial" w:cs="Arial" w:eastAsia="Arial" w:hAnsi="Arial"/>
          <w:sz w:val="24"/>
          <w:szCs w:val="24"/>
        </w:rPr>
        <w:t xml:space="preserve">5) пункт 2.17:</w:t>
      </w:r>
    </w:p>
    <w:p>
      <w:pPr>
        <w:spacing w:after="120"/>
        <w:jc w:val="both"/>
      </w:pPr>
      <w:r>
        <w:rPr>
          <w:rFonts w:ascii="Arial" w:cs="Arial" w:eastAsia="Arial" w:hAnsi="Arial"/>
          <w:sz w:val="24"/>
          <w:szCs w:val="24"/>
        </w:rPr>
        <w:t xml:space="preserve">- после слов "на референдум с днем" слова "голосования и" исключить;</w:t>
      </w:r>
    </w:p>
    <w:p>
      <w:pPr>
        <w:spacing w:after="120"/>
        <w:jc w:val="both"/>
      </w:pPr>
      <w:r>
        <w:rPr>
          <w:rFonts w:ascii="Arial" w:cs="Arial" w:eastAsia="Arial" w:hAnsi="Arial"/>
          <w:sz w:val="24"/>
          <w:szCs w:val="24"/>
        </w:rPr>
        <w:t xml:space="preserve">- слова "депутатов местных кенешей Кыргызской Республики" исключить;</w:t>
      </w:r>
    </w:p>
    <w:p>
      <w:pPr>
        <w:spacing w:after="120"/>
        <w:jc w:val="both"/>
      </w:pPr>
      <w:r>
        <w:rPr>
          <w:rFonts w:ascii="Arial" w:cs="Arial" w:eastAsia="Arial" w:hAnsi="Arial"/>
          <w:sz w:val="24"/>
          <w:szCs w:val="24"/>
        </w:rPr>
        <w:t xml:space="preserve">6) пункт 3.1 изложить в следующей редакции:</w:t>
      </w:r>
    </w:p>
    <w:p>
      <w:pPr>
        <w:spacing w:after="120"/>
        <w:jc w:val="both"/>
      </w:pPr>
      <w:r>
        <w:rPr>
          <w:rFonts w:ascii="Arial" w:cs="Arial" w:eastAsia="Arial" w:hAnsi="Arial"/>
          <w:sz w:val="24"/>
          <w:szCs w:val="24"/>
        </w:rPr>
        <w:t xml:space="preserve">"3.1. Участники референдума, которые внесены в списки участников референдума, но по состоянию здоровья или инвалидности не могут прибыть на участок для голосования; участники референдума, находящиеся в день голосования в больницах, в местах содержания под стражей подозреваемых и обвиняемых; участники референдума,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избиратели, работающие на предприятиях с непрерывным циклом работы, избиратели, работающие вахтовым методом, участники референдума, находящиеся под домашним арестом, если они постоянно проживают на территории участка по проведению референдума, в который входят по месту своего расположения места их временного пребывания, голосуют по месту своего пребывания. Участковые избирательные комиссии обязаны обеспечить таким участникам референдума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7) пункт 3.3:</w:t>
      </w:r>
    </w:p>
    <w:p>
      <w:pPr>
        <w:spacing w:after="120"/>
        <w:jc w:val="both"/>
      </w:pPr>
      <w:r>
        <w:rPr>
          <w:rFonts w:ascii="Arial" w:cs="Arial" w:eastAsia="Arial" w:hAnsi="Arial"/>
          <w:sz w:val="24"/>
          <w:szCs w:val="24"/>
        </w:rPr>
        <w:t xml:space="preserve">- слова "выборов депутатов местных кенешей Кыргызской Республики" заменить на слова "на выборах";</w:t>
      </w:r>
    </w:p>
    <w:p>
      <w:pPr>
        <w:spacing w:after="120"/>
        <w:jc w:val="both"/>
      </w:pPr>
      <w:r>
        <w:rPr>
          <w:rFonts w:ascii="Arial" w:cs="Arial" w:eastAsia="Arial" w:hAnsi="Arial"/>
          <w:sz w:val="24"/>
          <w:szCs w:val="24"/>
        </w:rPr>
        <w:t xml:space="preserve">- слова "депутатов местных кенешей" исключить;</w:t>
      </w:r>
    </w:p>
    <w:p>
      <w:pPr>
        <w:spacing w:after="120"/>
        <w:jc w:val="both"/>
      </w:pPr>
      <w:r>
        <w:rPr>
          <w:rFonts w:ascii="Arial" w:cs="Arial" w:eastAsia="Arial" w:hAnsi="Arial"/>
          <w:sz w:val="24"/>
          <w:szCs w:val="24"/>
        </w:rPr>
        <w:t xml:space="preserve">8) пункт 3.8 дополнить абзацем вторым следующего содержания:</w:t>
      </w:r>
    </w:p>
    <w:p>
      <w:pPr>
        <w:spacing w:after="120"/>
        <w:jc w:val="both"/>
      </w:pPr>
      <w:r>
        <w:rPr>
          <w:rFonts w:ascii="Arial" w:cs="Arial" w:eastAsia="Arial" w:hAnsi="Arial"/>
          <w:sz w:val="24"/>
          <w:szCs w:val="24"/>
        </w:rPr>
        <w:t xml:space="preserve">"В случае если участник референдума вследствие ограниченности возможности здоровья или по состоянию здоровья не может самостоятельно расписаться в получении бюллетеня для голосования или заполнить бюллетень для голосования, он вправе воспользоваться для этого помощью другого участника референдума в порядке, предусмотренном частью 10 статьи 32 конституционного Закона.";</w:t>
      </w:r>
    </w:p>
    <w:p>
      <w:pPr>
        <w:spacing w:after="120"/>
        <w:jc w:val="both"/>
      </w:pPr>
      <w:r>
        <w:rPr>
          <w:rFonts w:ascii="Arial" w:cs="Arial" w:eastAsia="Arial" w:hAnsi="Arial"/>
          <w:sz w:val="24"/>
          <w:szCs w:val="24"/>
        </w:rPr>
        <w:t xml:space="preserve">9) пункт 4.16 изложить в следующей редакции:</w:t>
      </w:r>
    </w:p>
    <w:p>
      <w:pPr>
        <w:spacing w:after="120"/>
        <w:jc w:val="both"/>
      </w:pPr>
      <w:r>
        <w:rPr>
          <w:rFonts w:ascii="Arial" w:cs="Arial" w:eastAsia="Arial" w:hAnsi="Arial"/>
          <w:sz w:val="24"/>
          <w:szCs w:val="24"/>
        </w:rPr>
        <w:t xml:space="preserve">"4.16. Бюллетень для голосования выдается участнику референдума, включенным в список участников референдума, по предъявлении документа, удостоверяющего личность участника референдума и чека, выданного ему после идентификации. К документам, удостоверяющим личность участника референдума, относятся: паспорт гражданина (ID-карта) и общегражданский паспорт гражданина Кыргызской Республики.";</w:t>
      </w:r>
    </w:p>
    <w:p>
      <w:pPr>
        <w:spacing w:after="120"/>
        <w:jc w:val="both"/>
      </w:pPr>
      <w:r>
        <w:rPr>
          <w:rFonts w:ascii="Arial" w:cs="Arial" w:eastAsia="Arial" w:hAnsi="Arial"/>
          <w:sz w:val="24"/>
          <w:szCs w:val="24"/>
        </w:rPr>
        <w:t xml:space="preserve">10) главу 4 дополнить пунктом 4.18-1 следующего содержания:</w:t>
      </w:r>
    </w:p>
    <w:p>
      <w:pPr>
        <w:spacing w:after="120"/>
        <w:jc w:val="both"/>
      </w:pPr>
      <w:r>
        <w:rPr>
          <w:rFonts w:ascii="Arial" w:cs="Arial" w:eastAsia="Arial" w:hAnsi="Arial"/>
          <w:sz w:val="24"/>
          <w:szCs w:val="24"/>
        </w:rPr>
        <w:t xml:space="preserve">"4.18-1. Участки референдума оснащаются специальными трафаретами для самостоятельного заполнения участниками референдума с ограниченными возможностями здоровья бюллетеней для голосования, в том числе бюллетенями с применением шрифта Брайля.";</w:t>
      </w:r>
    </w:p>
    <w:p>
      <w:pPr>
        <w:spacing w:after="120"/>
        <w:jc w:val="both"/>
      </w:pPr>
      <w:r>
        <w:rPr>
          <w:rFonts w:ascii="Arial" w:cs="Arial" w:eastAsia="Arial" w:hAnsi="Arial"/>
          <w:sz w:val="24"/>
          <w:szCs w:val="24"/>
        </w:rPr>
        <w:t xml:space="preserve">11) пункт 4.20 изложить в следующей редакции:</w:t>
      </w:r>
    </w:p>
    <w:p>
      <w:pPr>
        <w:spacing w:after="120"/>
        <w:jc w:val="both"/>
      </w:pPr>
      <w:r>
        <w:rPr>
          <w:rFonts w:ascii="Arial" w:cs="Arial" w:eastAsia="Arial" w:hAnsi="Arial"/>
          <w:sz w:val="24"/>
          <w:szCs w:val="24"/>
        </w:rPr>
        <w:t xml:space="preserve">"4.20. Если участник референдума голосует за принятие вынесенного на референдум вопроса, он ставит знак "V" или любой иной знак в квадрате под словом "За". Если участник референдума голосует против вынесенного на референдум вопроса, он ставит знак "V" или любой иной знак в квадрате под словом "Против".</w:t>
      </w:r>
    </w:p>
    <w:p>
      <w:pPr>
        <w:spacing w:after="120"/>
        <w:jc w:val="both"/>
      </w:pPr>
      <w:r>
        <w:rPr>
          <w:rFonts w:ascii="Arial" w:cs="Arial" w:eastAsia="Arial" w:hAnsi="Arial"/>
          <w:sz w:val="24"/>
          <w:szCs w:val="24"/>
        </w:rPr>
        <w:t xml:space="preserve">В случае вынесения на референдум альтернативных вариантов вопросов участник референдума имеет право выбрать только один вариант.</w:t>
      </w:r>
    </w:p>
    <w:p>
      <w:pPr>
        <w:spacing w:after="120"/>
        <w:jc w:val="both"/>
      </w:pPr>
      <w:r>
        <w:rPr>
          <w:rFonts w:ascii="Arial" w:cs="Arial" w:eastAsia="Arial" w:hAnsi="Arial"/>
          <w:sz w:val="24"/>
          <w:szCs w:val="24"/>
        </w:rPr>
        <w:t xml:space="preserve">В случае вынесения на референдум нескольких вопросов участник референдума должен ответить на каждый вопрос независимо от ответов на другие вопросы данного бюллетеня.</w:t>
      </w:r>
    </w:p>
    <w:p>
      <w:pPr>
        <w:spacing w:after="120"/>
        <w:jc w:val="both"/>
      </w:pPr>
      <w:r>
        <w:rPr>
          <w:rFonts w:ascii="Arial" w:cs="Arial" w:eastAsia="Arial" w:hAnsi="Arial"/>
          <w:sz w:val="24"/>
          <w:szCs w:val="24"/>
        </w:rPr>
        <w:t xml:space="preserve">Заполненный бюллетень для голосования участник референдума опускает в ящик для голосования, который должен находиться в поле зрения членов участковой избирательной комиссии и наблюдателей.";</w:t>
      </w:r>
    </w:p>
    <w:p>
      <w:pPr>
        <w:spacing w:after="120"/>
        <w:jc w:val="both"/>
      </w:pPr>
      <w:r>
        <w:rPr>
          <w:rFonts w:ascii="Arial" w:cs="Arial" w:eastAsia="Arial" w:hAnsi="Arial"/>
          <w:sz w:val="24"/>
          <w:szCs w:val="24"/>
        </w:rPr>
        <w:t xml:space="preserve">12) пункт 4.21 дополнить абзацем вторым следующего содержания:</w:t>
      </w:r>
    </w:p>
    <w:p>
      <w:pPr>
        <w:spacing w:after="120"/>
        <w:jc w:val="both"/>
      </w:pPr>
      <w:r>
        <w:rPr>
          <w:rFonts w:ascii="Arial" w:cs="Arial" w:eastAsia="Arial" w:hAnsi="Arial"/>
          <w:sz w:val="24"/>
          <w:szCs w:val="24"/>
        </w:rPr>
        <w:t xml:space="preserve">"Лицо, назначенное по просьбе участника референдума, не имеющего возможности самостоятельно расписаться в получении избирательного бюллетеня, заполнить избирательный бюллетень, обязано совершить действия, указанные в абзаце первом настоящего пункта, в полном соответствии с волеизъявлением избирателя.";</w:t>
      </w:r>
    </w:p>
    <w:p>
      <w:pPr>
        <w:spacing w:after="120"/>
        <w:jc w:val="both"/>
      </w:pPr>
      <w:r>
        <w:rPr>
          <w:rFonts w:ascii="Arial" w:cs="Arial" w:eastAsia="Arial" w:hAnsi="Arial"/>
          <w:sz w:val="24"/>
          <w:szCs w:val="24"/>
        </w:rPr>
        <w:t xml:space="preserve">13) пункт 4.22 дополнить абзацем вторым следующего содержания:</w:t>
      </w:r>
    </w:p>
    <w:p>
      <w:pPr>
        <w:spacing w:after="120"/>
        <w:jc w:val="both"/>
      </w:pPr>
      <w:r>
        <w:rPr>
          <w:rFonts w:ascii="Arial" w:cs="Arial" w:eastAsia="Arial" w:hAnsi="Arial"/>
          <w:sz w:val="24"/>
          <w:szCs w:val="24"/>
        </w:rPr>
        <w:t xml:space="preserve">"Сведения о количестве проголосовавших передаются в территориальную комиссию по проведению референдума через каждые 2 часа, системный администратор территориальной комиссии по проведению референдума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участников референдума, основанные на количестве выданных чеков, передаются в Центральную избирательную комиссию сразу же после закрытия участков референдума, но до вскрытия урн с бюллетенями.";</w:t>
      </w:r>
    </w:p>
    <w:p>
      <w:pPr>
        <w:spacing w:after="120"/>
        <w:jc w:val="both"/>
      </w:pPr>
      <w:r>
        <w:rPr>
          <w:rFonts w:ascii="Arial" w:cs="Arial" w:eastAsia="Arial" w:hAnsi="Arial"/>
          <w:sz w:val="24"/>
          <w:szCs w:val="24"/>
        </w:rPr>
        <w:t xml:space="preserve">14) пункт 5.6 изложить в следующей редакции:</w:t>
      </w:r>
    </w:p>
    <w:p>
      <w:pPr>
        <w:spacing w:after="120"/>
        <w:jc w:val="both"/>
      </w:pPr>
      <w:r>
        <w:rPr>
          <w:rFonts w:ascii="Arial" w:cs="Arial" w:eastAsia="Arial" w:hAnsi="Arial"/>
          <w:sz w:val="24"/>
          <w:szCs w:val="24"/>
        </w:rPr>
        <w:t xml:space="preserve">"5.6. При совмещении дня голосования на референдуме со днем выборов Президента или депутатов Жогорку Кенеша, в первую очередь, осуществляется процесс подсчета избирательных бюллетеней и установление итогов голосования выборов Президента или депутатов Жогорку Кенеша, затем производится подсчет бюллетеней для голосования и установление итогов голосования референдума.</w:t>
      </w:r>
    </w:p>
    <w:p>
      <w:pPr>
        <w:spacing w:after="120"/>
        <w:jc w:val="both"/>
      </w:pPr>
      <w:r>
        <w:rPr>
          <w:rFonts w:ascii="Arial" w:cs="Arial" w:eastAsia="Arial" w:hAnsi="Arial"/>
          <w:sz w:val="24"/>
          <w:szCs w:val="24"/>
        </w:rPr>
        <w:t xml:space="preserve">В случае совмещения дня голосования на референдуме со днем выборов депутатов местных кенешей, в первую очередь, осуществляется процесс подсчета бюллетеней для голосования, установление итогов голосования референдума.";</w:t>
      </w:r>
    </w:p>
    <w:p>
      <w:pPr>
        <w:spacing w:after="120"/>
        <w:jc w:val="both"/>
      </w:pPr>
      <w:r>
        <w:rPr>
          <w:rFonts w:ascii="Arial" w:cs="Arial" w:eastAsia="Arial" w:hAnsi="Arial"/>
          <w:sz w:val="24"/>
          <w:szCs w:val="24"/>
        </w:rPr>
        <w:t xml:space="preserve">15) в пункте 5.7 слова "подписями ее членами" заменить на слова "подписями ее членов";</w:t>
      </w:r>
    </w:p>
    <w:p>
      <w:pPr>
        <w:spacing w:after="120"/>
        <w:jc w:val="both"/>
      </w:pPr>
      <w:r>
        <w:rPr>
          <w:rFonts w:ascii="Arial" w:cs="Arial" w:eastAsia="Arial" w:hAnsi="Arial"/>
          <w:sz w:val="24"/>
          <w:szCs w:val="24"/>
        </w:rPr>
        <w:t xml:space="preserve">16) в пункте 5.21 слова "переносных и стационарных" исключить;</w:t>
      </w:r>
    </w:p>
    <w:p>
      <w:pPr>
        <w:spacing w:after="120"/>
        <w:jc w:val="both"/>
      </w:pPr>
      <w:r>
        <w:rPr>
          <w:rFonts w:ascii="Arial" w:cs="Arial" w:eastAsia="Arial" w:hAnsi="Arial"/>
          <w:sz w:val="24"/>
          <w:szCs w:val="24"/>
        </w:rPr>
        <w:t xml:space="preserve">17) пункт 5.24 дополнить абзацами следующего содержания:</w:t>
      </w:r>
    </w:p>
    <w:p>
      <w:pPr>
        <w:spacing w:after="120"/>
        <w:jc w:val="both"/>
      </w:pPr>
      <w:r>
        <w:rPr>
          <w:rFonts w:ascii="Arial" w:cs="Arial" w:eastAsia="Arial" w:hAnsi="Arial"/>
          <w:sz w:val="24"/>
          <w:szCs w:val="24"/>
        </w:rPr>
        <w:t xml:space="preserve">"Бюллетень считается недействительным, если:</w:t>
      </w:r>
    </w:p>
    <w:p>
      <w:pPr>
        <w:spacing w:after="120"/>
        <w:jc w:val="both"/>
      </w:pPr>
      <w:r>
        <w:rPr>
          <w:rFonts w:ascii="Arial" w:cs="Arial" w:eastAsia="Arial" w:hAnsi="Arial"/>
          <w:sz w:val="24"/>
          <w:szCs w:val="24"/>
        </w:rPr>
        <w:t xml:space="preserve">1) одновременно заполнены несколько ответов по вопросу референдума;</w:t>
      </w:r>
    </w:p>
    <w:p>
      <w:pPr>
        <w:spacing w:after="120"/>
        <w:jc w:val="both"/>
      </w:pPr>
      <w:r>
        <w:rPr>
          <w:rFonts w:ascii="Arial" w:cs="Arial" w:eastAsia="Arial" w:hAnsi="Arial"/>
          <w:sz w:val="24"/>
          <w:szCs w:val="24"/>
        </w:rPr>
        <w:t xml:space="preserve">2) одновременно заполнены ответы "За" по вопросу референдума и альтернативному вопросу референдума или если заполнены ответы по вопросу (вопросам) референдума и одновременно ответ "Против всех вариантов";</w:t>
      </w:r>
    </w:p>
    <w:p>
      <w:pPr>
        <w:spacing w:after="120"/>
        <w:jc w:val="both"/>
      </w:pPr>
      <w:r>
        <w:rPr>
          <w:rFonts w:ascii="Arial" w:cs="Arial" w:eastAsia="Arial" w:hAnsi="Arial"/>
          <w:sz w:val="24"/>
          <w:szCs w:val="24"/>
        </w:rPr>
        <w:t xml:space="preserve">3) по нескольким вопросам референдума заполнены варианты ответа и одновременно ответ "Против всех вариантов";</w:t>
      </w:r>
    </w:p>
    <w:p>
      <w:pPr>
        <w:spacing w:after="120"/>
        <w:jc w:val="both"/>
      </w:pPr>
      <w:r>
        <w:rPr>
          <w:rFonts w:ascii="Arial" w:cs="Arial" w:eastAsia="Arial" w:hAnsi="Arial"/>
          <w:sz w:val="24"/>
          <w:szCs w:val="24"/>
        </w:rPr>
        <w:t xml:space="preserve">4) не содержит волеизъявление участника референдума (незаполненные бюллетени).</w:t>
      </w:r>
    </w:p>
    <w:p>
      <w:pPr>
        <w:spacing w:after="120"/>
        <w:jc w:val="both"/>
      </w:pPr>
      <w:r>
        <w:rPr>
          <w:rFonts w:ascii="Arial" w:cs="Arial" w:eastAsia="Arial" w:hAnsi="Arial"/>
          <w:sz w:val="24"/>
          <w:szCs w:val="24"/>
        </w:rPr>
        <w:t xml:space="preserve">Бюллетень по нескольким вопросам референдума считается действительным, если часть вопросов референдума заполнена в соответствии с настоящим пунктом, а другая часть признана недействительной. Подсчет голосов ведется по вопросам, заполненным в соответствии с настоящим пунктом.";</w:t>
      </w:r>
    </w:p>
    <w:p>
      <w:pPr>
        <w:spacing w:after="120"/>
        <w:jc w:val="both"/>
      </w:pPr>
      <w:r>
        <w:rPr>
          <w:rFonts w:ascii="Arial" w:cs="Arial" w:eastAsia="Arial" w:hAnsi="Arial"/>
          <w:sz w:val="24"/>
          <w:szCs w:val="24"/>
        </w:rPr>
        <w:t xml:space="preserve">17) в пункте 5.26 после слов "об итогах голосования" дополнить словами "в форме, утвержденной Центральной избирательной комиссией,";</w:t>
      </w:r>
    </w:p>
    <w:p>
      <w:pPr>
        <w:spacing w:after="120"/>
        <w:jc w:val="both"/>
      </w:pPr>
      <w:r>
        <w:rPr>
          <w:rFonts w:ascii="Arial" w:cs="Arial" w:eastAsia="Arial" w:hAnsi="Arial"/>
          <w:sz w:val="24"/>
          <w:szCs w:val="24"/>
        </w:rPr>
        <w:t xml:space="preserve">18) пункт 5.32 изложить в следующей редакции:</w:t>
      </w:r>
    </w:p>
    <w:p>
      <w:pPr>
        <w:spacing w:after="120"/>
        <w:jc w:val="both"/>
      </w:pPr>
      <w:r>
        <w:rPr>
          <w:rFonts w:ascii="Arial" w:cs="Arial" w:eastAsia="Arial" w:hAnsi="Arial"/>
          <w:sz w:val="24"/>
          <w:szCs w:val="24"/>
        </w:rPr>
        <w:t xml:space="preserve">"5.32.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членами участковой избирательной комиссии, представителями группы "за", группы "против", наблюдателями, представителями средств массовой информации.</w:t>
      </w:r>
    </w:p>
    <w:p>
      <w:pPr>
        <w:spacing w:after="120"/>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участников референдума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120"/>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120"/>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незамедлительно публикуются системным администратором на сайте Центральной избирательной комиссии.";</w:t>
      </w:r>
    </w:p>
    <w:p>
      <w:pPr>
        <w:spacing w:after="120"/>
        <w:jc w:val="both"/>
      </w:pPr>
      <w:r>
        <w:rPr>
          <w:rFonts w:ascii="Arial" w:cs="Arial" w:eastAsia="Arial" w:hAnsi="Arial"/>
          <w:sz w:val="24"/>
          <w:szCs w:val="24"/>
        </w:rPr>
        <w:t xml:space="preserve">19) главу 6 дополнить пунктом 6.1-2 следующего содержания:</w:t>
      </w:r>
    </w:p>
    <w:p>
      <w:pPr>
        <w:spacing w:after="120"/>
        <w:jc w:val="both"/>
      </w:pPr>
      <w:r>
        <w:rPr>
          <w:rFonts w:ascii="Arial" w:cs="Arial" w:eastAsia="Arial" w:hAnsi="Arial"/>
          <w:sz w:val="24"/>
          <w:szCs w:val="24"/>
        </w:rPr>
        <w:t xml:space="preserve">"6.1-2. Председатель территориальной избирательной комиссии заблаговременно определяет членов территориальной избирательной комиссии, ответственных за прием документов референдума по каждой участковой избирательной комиссии. Прием избирательных документов и оборудования осуществляется в помещении, определяемом территориальной избирательной комиссией.</w:t>
      </w:r>
    </w:p>
    <w:p>
      <w:pPr>
        <w:spacing w:after="120"/>
        <w:jc w:val="both"/>
      </w:pPr>
      <w:r>
        <w:rPr>
          <w:rFonts w:ascii="Arial" w:cs="Arial" w:eastAsia="Arial" w:hAnsi="Arial"/>
          <w:sz w:val="24"/>
          <w:szCs w:val="24"/>
        </w:rPr>
        <w:t xml:space="preserve">Председатель участковой избирательной комиссии или один из членов участковой избирательной комиссии, прибыв в помещение, определенное территориальной избирательной комиссии, сдает автоматические считывающие урны, оборудование по идентификации избирателей системному администратору в территориальной избирательной комиссии.</w:t>
      </w:r>
    </w:p>
    <w:p>
      <w:pPr>
        <w:spacing w:after="120"/>
        <w:jc w:val="both"/>
      </w:pPr>
      <w:r>
        <w:rPr>
          <w:rFonts w:ascii="Arial" w:cs="Arial" w:eastAsia="Arial" w:hAnsi="Arial"/>
          <w:sz w:val="24"/>
          <w:szCs w:val="24"/>
        </w:rPr>
        <w:t xml:space="preserve">Участковые избирательные комиссии сдают соответствующему члену территориальной избирательной комиссии первые экземпляры протоколов об итогах голосования, вместе со следующими документами референдума:</w:t>
      </w:r>
    </w:p>
    <w:p>
      <w:pPr>
        <w:spacing w:after="120"/>
        <w:jc w:val="both"/>
      </w:pPr>
      <w:r>
        <w:rPr>
          <w:rFonts w:ascii="Arial" w:cs="Arial" w:eastAsia="Arial" w:hAnsi="Arial"/>
          <w:sz w:val="24"/>
          <w:szCs w:val="24"/>
        </w:rPr>
        <w:t xml:space="preserve">- первичные и итоговые отчеты автоматически считывающей урны (АСУ), заверенные печатью;</w:t>
      </w:r>
    </w:p>
    <w:p>
      <w:pPr>
        <w:spacing w:after="120"/>
        <w:jc w:val="both"/>
      </w:pPr>
      <w:r>
        <w:rPr>
          <w:rFonts w:ascii="Arial" w:cs="Arial" w:eastAsia="Arial" w:hAnsi="Arial"/>
          <w:sz w:val="24"/>
          <w:szCs w:val="24"/>
        </w:rPr>
        <w:t xml:space="preserve">- первичные и итоговые отчеты по идентификации голосования вне помещения;</w:t>
      </w:r>
    </w:p>
    <w:p>
      <w:pPr>
        <w:spacing w:after="120"/>
        <w:jc w:val="both"/>
      </w:pPr>
      <w:r>
        <w:rPr>
          <w:rFonts w:ascii="Arial" w:cs="Arial" w:eastAsia="Arial" w:hAnsi="Arial"/>
          <w:sz w:val="24"/>
          <w:szCs w:val="24"/>
        </w:rPr>
        <w:t xml:space="preserve">- первичные и итоговые отчеты по идентификации в день голосования;</w:t>
      </w:r>
    </w:p>
    <w:p>
      <w:pPr>
        <w:spacing w:after="120"/>
        <w:jc w:val="both"/>
      </w:pPr>
      <w:r>
        <w:rPr>
          <w:rFonts w:ascii="Arial" w:cs="Arial" w:eastAsia="Arial" w:hAnsi="Arial"/>
          <w:sz w:val="24"/>
          <w:szCs w:val="24"/>
        </w:rPr>
        <w:t xml:space="preserve">- акты,</w:t>
      </w:r>
    </w:p>
    <w:p>
      <w:pPr>
        <w:spacing w:after="120"/>
        <w:jc w:val="both"/>
      </w:pPr>
      <w:r>
        <w:rPr>
          <w:rFonts w:ascii="Arial" w:cs="Arial" w:eastAsia="Arial" w:hAnsi="Arial"/>
          <w:sz w:val="24"/>
          <w:szCs w:val="24"/>
        </w:rPr>
        <w:t xml:space="preserve">- реестры;</w:t>
      </w:r>
    </w:p>
    <w:p>
      <w:pPr>
        <w:spacing w:after="120"/>
        <w:jc w:val="both"/>
      </w:pPr>
      <w:r>
        <w:rPr>
          <w:rFonts w:ascii="Arial" w:cs="Arial" w:eastAsia="Arial" w:hAnsi="Arial"/>
          <w:sz w:val="24"/>
          <w:szCs w:val="24"/>
        </w:rPr>
        <w:t xml:space="preserve">- протокол итогового заседания участковой избирательной комиссии;</w:t>
      </w:r>
    </w:p>
    <w:p>
      <w:pPr>
        <w:spacing w:after="120"/>
        <w:jc w:val="both"/>
      </w:pPr>
      <w:r>
        <w:rPr>
          <w:rFonts w:ascii="Arial" w:cs="Arial" w:eastAsia="Arial" w:hAnsi="Arial"/>
          <w:sz w:val="24"/>
          <w:szCs w:val="24"/>
        </w:rPr>
        <w:t xml:space="preserve">- заявления (жалобы), принятые по ним решения, акты.</w:t>
      </w:r>
    </w:p>
    <w:p>
      <w:pPr>
        <w:spacing w:after="120"/>
        <w:jc w:val="both"/>
      </w:pPr>
      <w:r>
        <w:rPr>
          <w:rFonts w:ascii="Arial" w:cs="Arial" w:eastAsia="Arial" w:hAnsi="Arial"/>
          <w:sz w:val="24"/>
          <w:szCs w:val="24"/>
        </w:rPr>
        <w:t xml:space="preserve">Также член территориальной избирательной комиссии принимает опечатанные мешки или коробки, в которых находятся рассортированные бюллетени для голосования по каждому вопросу и позиции "против всех", а также бюллетени для голосования, упакованные в отдельные пачки, которые участковая избирательная комиссия своим решением признала недействительными, погашенные бюллетени для голосования, список участников референдума, чеки о прохождении идентификации, выданные оператором.</w:t>
      </w:r>
    </w:p>
    <w:p>
      <w:pPr>
        <w:spacing w:after="120"/>
        <w:jc w:val="both"/>
      </w:pPr>
      <w:r>
        <w:rPr>
          <w:rFonts w:ascii="Arial" w:cs="Arial" w:eastAsia="Arial" w:hAnsi="Arial"/>
          <w:sz w:val="24"/>
          <w:szCs w:val="24"/>
        </w:rPr>
        <w:t xml:space="preserve">На мешке или коробке указываются номер избирательного участка и перечень находящихся внутри документов. Мешок или коробка опечатывается с проставлением подписей членов участковых избирательных комиссий.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sz w:val="24"/>
          <w:szCs w:val="24"/>
        </w:rPr>
        <w:t xml:space="preserve">20) главу 8 исключить.</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избирательной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b/>
          <w:bCs/>
          <w:sz w:val="24"/>
          <w:szCs w:val="24"/>
        </w:rPr>
        <w:t xml:space="preserve">А.Бекматов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d5c7qpxh9w-x10enw3-">
      <w:r>
        <w:rPr>
          <w:rFonts w:ascii="Arial" w:cs="Arial" w:eastAsia="Arial" w:hAnsi="Arial"/>
          <w:color w:val="132D3F"/>
          <w:sz w:val="16"/>
          <w:szCs w:val="16"/>
          <w:u w:val="single"/>
        </w:rPr>
        <w:t xml:space="preserve">dalil.kg/document/600024</w:t>
      </w:r>
    </w:hyperlink>
  </w:p>
  <w:p>
    <w:pPr>
      <w:spacing w:after="0" w:before="40"/>
      <w:jc w:val="center"/>
    </w:pPr>
    <w:hyperlink w:history="1" r:id="rIdj9ybwum88gkanz2s4zs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3l8i-5evp8kbsq9m8dw0" Type="http://schemas.openxmlformats.org/officeDocument/2006/relationships/hyperlink" Target="https://dalil.kg/document/12431" TargetMode="External"/><Relationship Id="rIdrbxda7kqdsc-nch7k4xey" Type="http://schemas.openxmlformats.org/officeDocument/2006/relationships/hyperlink" Target="https://dalil.kg/document/111452" TargetMode="External"/><Relationship Id="rIdw7rruddqiqdt_ud52d2wf" Type="http://schemas.openxmlformats.org/officeDocument/2006/relationships/hyperlink" Target="https://dalil.kg/document/203100#st_7" TargetMode="External"/><Relationship Id="rIdnbg16le2usa6hg3ni_2wf" Type="http://schemas.openxmlformats.org/officeDocument/2006/relationships/hyperlink" Target="https://dalil.kg/document/203100#st_14" TargetMode="External"/><Relationship Id="rIdwgkfexfzf9usust4nscoa" Type="http://schemas.openxmlformats.org/officeDocument/2006/relationships/hyperlink" Target="https://dalil.kg/document/203100#st_18" TargetMode="External"/><Relationship Id="rIdmdd5ihwws6ejwq16oitjp" Type="http://schemas.openxmlformats.org/officeDocument/2006/relationships/hyperlink" Target="https://dalil.kg/document/203100" TargetMode="External"/><Relationship Id="rId4vant48xjwyei9c0alvja" Type="http://schemas.openxmlformats.org/officeDocument/2006/relationships/hyperlink" Target="https://dalil.kg/document/111452" TargetMode="External"/><Relationship Id="rIdayb6lh6rxvkoypavpzntr" Type="http://schemas.openxmlformats.org/officeDocument/2006/relationships/hyperlink" Target="https://dalil.kg/document/12431#p" TargetMode="External"/><Relationship Id="rIdqkzrvjfckzmhni1e02n1f" Type="http://schemas.openxmlformats.org/officeDocument/2006/relationships/hyperlink" Target="https://dalil.kg/document/1243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d5c7qpxh9w-x10enw3-" Type="http://schemas.openxmlformats.org/officeDocument/2006/relationships/hyperlink" Target="https://dalil.kg/document/600024" TargetMode="External"/><Relationship Id="rIdj9ybwum88gkanz2s4zs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2026-09-30T00:13:20.047Z</dcterms:created>
  <dcterms:modified xsi:type="dcterms:W3CDTF">2026-09-30T00:13:20.047Z</dcterms:modified>
</cp:coreProperties>
</file>

<file path=docProps/custom.xml><?xml version="1.0" encoding="utf-8"?>
<Properties xmlns="http://schemas.openxmlformats.org/officeDocument/2006/custom-properties" xmlns:vt="http://schemas.openxmlformats.org/officeDocument/2006/docPropsVTypes"/>
</file>