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№ 58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уведомлении общественного фонда «Спортивный Баскетбольный клуб «Бишкек - Динамо» о намерении осуществлять наблюдение на выборах депутатов местных кенешей, назначенных на 11 апреля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8-1 </w:t>
      </w:r>
      <w:hyperlink w:history="1" r:id="rIdx3wqyl38rtyxpew2gf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7, 18 </w:t>
      </w:r>
      <w:hyperlink w:history="1" r:id="rIdussbd6vcgpezsdpxfem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hyperlink w:history="1" r:id="rIdf_xk4iwxvxxcc1_p6o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«О назначении выборов депутатов местных кенешей Кыргызской Республики», Положением 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Республики», утвержденного постановлением Центральной комиссии по выборам и проведению референдумов Кыргызской Республики от 11 июля 2017 года №226, на основании </w:t>
      </w:r>
      <w:r>
        <w:rPr>
          <w:rFonts w:ascii="Arial" w:cs="Arial" w:eastAsia="Arial" w:hAnsi="Arial"/>
          <w:sz w:val="24"/>
          <w:szCs w:val="24"/>
        </w:rPr>
        <w:t xml:space="preserve">уведомления </w:t>
      </w:r>
      <w:r>
        <w:rPr>
          <w:rFonts w:ascii="Arial" w:cs="Arial" w:eastAsia="Arial" w:hAnsi="Arial"/>
          <w:sz w:val="24"/>
          <w:szCs w:val="24"/>
        </w:rPr>
        <w:t xml:space="preserve">общественного фонда «Спортивный Баскетбольный клуб «Бишкек - Динамо» от 8 апреля 2021 года (вх.№01-13/1140),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поступившее в Центральную комиссию по выборам и проведению референдумов Кыргызской Республики уведомление от общественного фонда «Спортивный Баскетбольный клуб «Бишкек - Динамо» о намерении осуществлять наблюдение в период подготовки и проведения выборов </w:t>
      </w:r>
      <w:r>
        <w:rPr>
          <w:rFonts w:ascii="Arial" w:cs="Arial" w:eastAsia="Arial" w:hAnsi="Arial"/>
          <w:sz w:val="24"/>
          <w:szCs w:val="24"/>
        </w:rPr>
        <w:t xml:space="preserve">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назначенных на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 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решение в территориальные и участковые избирательные комиссии для принятия соответствующих мер по регистрации общественных наблюдателей от некоммерческой организации, указанной в пункте 1, и выдаче им удостоверений установленного образца, в порядке, предусмотренном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mh5lahpfbx7zz_kut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dalil.kg/document/600402</w:t>
      </w:r>
    </w:hyperlink>
  </w:p>
  <w:p>
    <w:pPr>
      <w:spacing w:after="0" w:before="40"/>
      <w:jc w:val="center"/>
    </w:pPr>
    <w:hyperlink w:history="1" r:id="rIdmlybec9cdzjmw4spq3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wqyl38rtyxpew2gfsaz" Type="http://schemas.openxmlformats.org/officeDocument/2006/relationships/hyperlink" Target="https://dalil.kg/document/203103" TargetMode="External"/><Relationship Id="rIdussbd6vcgpezsdpxfemt9" Type="http://schemas.openxmlformats.org/officeDocument/2006/relationships/hyperlink" Target="https://dalil.kg/document/203100" TargetMode="External"/><Relationship Id="rIdf_xk4iwxvxxcc1_p6oqdb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mh5lahpfbx7zz_kuts0" Type="http://schemas.openxmlformats.org/officeDocument/2006/relationships/hyperlink" Target="https://dalil.kg/document/600402" TargetMode="External"/><Relationship Id="rIdmlybec9cdzjmw4spq3w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2026-09-29T19:01:38.677Z</dcterms:created>
  <dcterms:modified xsi:type="dcterms:W3CDTF">2026-09-29T19:01:38.677Z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