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z2dl3gfo6sr1xhmpellb">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марта 2013 года УП №53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Антитеррористическом центре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w:t>
      </w:r>
      <w:hyperlink w:history="1" r:id="rIdso_432h1okf3xy8nnxtsp">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апреля 2012 года УП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задачи Антитеррористического центра</w:t>
      </w:r>
    </w:p>
    <w:p>
      <w:pPr>
        <w:spacing w:after="120"/>
        <w:jc w:val="both"/>
      </w:pPr>
      <w:r>
        <w:rPr>
          <w:rFonts w:ascii="Arial" w:cs="Arial" w:eastAsia="Arial" w:hAnsi="Arial"/>
          <w:sz w:val="24"/>
          <w:szCs w:val="24"/>
        </w:rPr>
        <w:t xml:space="preserve">3. Функции и полномочия Антитеррористического центра</w:t>
      </w:r>
    </w:p>
    <w:p>
      <w:pPr>
        <w:spacing w:after="120"/>
        <w:jc w:val="both"/>
      </w:pPr>
      <w:r>
        <w:rPr>
          <w:rFonts w:ascii="Arial" w:cs="Arial" w:eastAsia="Arial" w:hAnsi="Arial"/>
          <w:sz w:val="24"/>
          <w:szCs w:val="24"/>
        </w:rPr>
        <w:t xml:space="preserve">4. Организация деятельности Антитеррористического центра</w:t>
      </w:r>
    </w:p>
    <w:p>
      <w:pPr>
        <w:spacing w:after="120"/>
        <w:jc w:val="both"/>
      </w:pPr>
      <w:r>
        <w:rPr>
          <w:rFonts w:ascii="Arial" w:cs="Arial" w:eastAsia="Arial" w:hAnsi="Arial"/>
          <w:sz w:val="24"/>
          <w:szCs w:val="24"/>
        </w:rPr>
        <w:t xml:space="preserve">5. Межведомственная координационная комиссия</w:t>
      </w:r>
    </w:p>
    <w:p>
      <w:pPr>
        <w:spacing w:after="120"/>
        <w:jc w:val="both"/>
      </w:pPr>
      <w:r>
        <w:rPr>
          <w:rFonts w:ascii="Arial" w:cs="Arial" w:eastAsia="Arial" w:hAnsi="Arial"/>
          <w:sz w:val="24"/>
          <w:szCs w:val="24"/>
        </w:rPr>
        <w:t xml:space="preserve">6. Координационные группы при территориальных органах ГКНБ</w:t>
      </w:r>
    </w:p>
    <w:p>
      <w:pPr>
        <w:spacing w:after="120"/>
        <w:jc w:val="both"/>
      </w:pPr>
      <w:r>
        <w:rPr>
          <w:rFonts w:ascii="Arial" w:cs="Arial" w:eastAsia="Arial" w:hAnsi="Arial"/>
          <w:sz w:val="24"/>
          <w:szCs w:val="24"/>
        </w:rPr>
        <w:t xml:space="preserve">7.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Антитеррористический центр (далее - АТЦ) является структурным подразделением Государственного комитета национальной безопасности Кыргызской Республики (далее - ГКНБ), разрабатывающим основы единой государственной политики в области противодействия терроризму в Кыргызской Республике и координирующим деятельность государственных органов, осуществляющих противодействие терроризму, созданным в целях достижения согласованности их действий по предупреждению, выявлению и пресечению террористической деятельности, а также выявлению и устранению причин и условий, способствующих подготовке и реализации террористических актов.</w:t>
      </w:r>
    </w:p>
    <w:p>
      <w:pPr>
        <w:spacing w:after="120"/>
        <w:jc w:val="both"/>
      </w:pPr>
      <w:r>
        <w:rPr>
          <w:rFonts w:ascii="Arial" w:cs="Arial" w:eastAsia="Arial" w:hAnsi="Arial"/>
          <w:sz w:val="24"/>
          <w:szCs w:val="24"/>
        </w:rPr>
        <w:t xml:space="preserve">2. Основная деятельность АТЦ направлена на реализацию целей и задач, предусмотренных Законом Кыргызской Республики "О противодействии терроризму".</w:t>
      </w:r>
    </w:p>
    <w:p>
      <w:pPr>
        <w:spacing w:after="120"/>
        <w:jc w:val="both"/>
      </w:pPr>
      <w:r>
        <w:rPr>
          <w:rFonts w:ascii="Arial" w:cs="Arial" w:eastAsia="Arial" w:hAnsi="Arial"/>
          <w:sz w:val="24"/>
          <w:szCs w:val="24"/>
        </w:rPr>
        <w:t xml:space="preserve">3. Правовую основу деятельности АТЦ составляют Конституция Кыргызской Республики, нормативные правовые акты Кыргызской Республики, вступившие в установленном порядке в силу международные договоры, участницей которых является Кыргызская Республика, общепризнанные принципы и нормы международного права, директивы, приказы и распоряжения председателя ГКНБ, а также настоящее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задачи Антитеррористического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являются:</w:t>
      </w:r>
    </w:p>
    <w:p>
      <w:pPr>
        <w:spacing w:after="120"/>
        <w:jc w:val="both"/>
      </w:pPr>
      <w:r>
        <w:rPr>
          <w:rFonts w:ascii="Arial" w:cs="Arial" w:eastAsia="Arial" w:hAnsi="Arial"/>
          <w:sz w:val="24"/>
          <w:szCs w:val="24"/>
        </w:rPr>
        <w:t xml:space="preserve">1) координация деятельности государственных органов в сфере выявления, предупреждения и пресечения террористической и иной экстремистской деятельности, работ по планированию и проведению антитеррористических операций; установление и поддержание рабочих контактов с государственными органами, а также международными центрами и организациями, занимающимися вопросами борьбы с терроризмом, подготовку и проведение командно-штабных и оперативно-тактических антитеррористических учений, разработку программ антитеррористической деятельности, планов предупреждения и пресечения террористических и иных экстремистских акций, анализ состояния антитеррористической защищенности стратегических и особо важных объектов, выработку рекомендаций по совершенствованию антитеррористической защиты объектов, координацию деятельности государственных органов в данной области;</w:t>
      </w:r>
    </w:p>
    <w:p>
      <w:pPr>
        <w:spacing w:after="120"/>
        <w:jc w:val="both"/>
      </w:pPr>
      <w:r>
        <w:rPr>
          <w:rFonts w:ascii="Arial" w:cs="Arial" w:eastAsia="Arial" w:hAnsi="Arial"/>
          <w:sz w:val="24"/>
          <w:szCs w:val="24"/>
        </w:rPr>
        <w:t xml:space="preserve">2) разработка предложений о совершенствовании законодательства Кыргызской Республики в области противодействия терроризму;</w:t>
      </w:r>
    </w:p>
    <w:p>
      <w:pPr>
        <w:spacing w:after="120"/>
        <w:jc w:val="both"/>
      </w:pPr>
      <w:r>
        <w:rPr>
          <w:rFonts w:ascii="Arial" w:cs="Arial" w:eastAsia="Arial" w:hAnsi="Arial"/>
          <w:sz w:val="24"/>
          <w:szCs w:val="24"/>
        </w:rPr>
        <w:t xml:space="preserve">3) принятие участия в подготовке международных договоров Кыргызской Республики в области противодействия терроризму;</w:t>
      </w:r>
    </w:p>
    <w:p>
      <w:pPr>
        <w:spacing w:after="120"/>
        <w:jc w:val="both"/>
      </w:pPr>
      <w:r>
        <w:rPr>
          <w:rFonts w:ascii="Arial" w:cs="Arial" w:eastAsia="Arial" w:hAnsi="Arial"/>
          <w:sz w:val="24"/>
          <w:szCs w:val="24"/>
        </w:rPr>
        <w:t xml:space="preserve">4) обеспечение выполнения обязательств, принятых в рамках международных договоров, в области противодействия терроризму;</w:t>
      </w:r>
    </w:p>
    <w:p>
      <w:pPr>
        <w:spacing w:after="120"/>
        <w:jc w:val="both"/>
      </w:pPr>
      <w:r>
        <w:rPr>
          <w:rFonts w:ascii="Arial" w:cs="Arial" w:eastAsia="Arial" w:hAnsi="Arial"/>
          <w:sz w:val="24"/>
          <w:szCs w:val="24"/>
        </w:rPr>
        <w:t xml:space="preserve">5) разработка концептуальных положений по совершенствованию антитеррористической деятельности, изучение и распространение опыта аналогичных структур иностранных государств, организация научно-методической работы, формирование и обеспечение функционирования объединенного межведомственного банка данных по проблемам противодействия терроризму;</w:t>
      </w:r>
    </w:p>
    <w:p>
      <w:pPr>
        <w:spacing w:after="120"/>
        <w:jc w:val="both"/>
      </w:pPr>
      <w:r>
        <w:rPr>
          <w:rFonts w:ascii="Arial" w:cs="Arial" w:eastAsia="Arial" w:hAnsi="Arial"/>
          <w:sz w:val="24"/>
          <w:szCs w:val="24"/>
        </w:rPr>
        <w:t xml:space="preserve">6) осуществление иных задач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и полномочия</w:t>
      </w:r>
    </w:p>
    <w:p>
      <w:pPr>
        <w:spacing w:after="120"/>
        <w:jc w:val="both"/>
      </w:pPr>
      <w:r>
        <w:rPr>
          <w:rFonts w:ascii="Arial" w:cs="Arial" w:eastAsia="Arial" w:hAnsi="Arial"/>
          <w:sz w:val="24"/>
          <w:szCs w:val="24"/>
        </w:rPr>
        <w:t xml:space="preserve">Антитеррористического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Функции АТЦ:</w:t>
      </w:r>
    </w:p>
    <w:p>
      <w:pPr>
        <w:spacing w:after="120"/>
        <w:jc w:val="both"/>
      </w:pPr>
      <w:r>
        <w:rPr>
          <w:rFonts w:ascii="Arial" w:cs="Arial" w:eastAsia="Arial" w:hAnsi="Arial"/>
          <w:sz w:val="24"/>
          <w:szCs w:val="24"/>
        </w:rPr>
        <w:t xml:space="preserve">1)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w:t>
      </w:r>
    </w:p>
    <w:p>
      <w:pPr>
        <w:spacing w:after="120"/>
        <w:jc w:val="both"/>
      </w:pPr>
      <w:r>
        <w:rPr>
          <w:rFonts w:ascii="Arial" w:cs="Arial" w:eastAsia="Arial" w:hAnsi="Arial"/>
          <w:sz w:val="24"/>
          <w:szCs w:val="24"/>
        </w:rPr>
        <w:t xml:space="preserve">2) анализ состояния антитеррористической защищенности объектов и разработка требований, норм и правил в области антитеррористической защиты объектов и предложений по финансово-экономическим механизмам, способствующим их реализации;</w:t>
      </w:r>
    </w:p>
    <w:p>
      <w:pPr>
        <w:spacing w:after="120"/>
        <w:jc w:val="both"/>
      </w:pPr>
      <w:r>
        <w:rPr>
          <w:rFonts w:ascii="Arial" w:cs="Arial" w:eastAsia="Arial" w:hAnsi="Arial"/>
          <w:sz w:val="24"/>
          <w:szCs w:val="24"/>
        </w:rPr>
        <w:t xml:space="preserve">3) выработка рекомендаций по совершенствованию антитеррористической защиты объектов и координация деятельности органов исполнительной власти в данной области;</w:t>
      </w:r>
    </w:p>
    <w:p>
      <w:pPr>
        <w:spacing w:after="120"/>
        <w:jc w:val="both"/>
      </w:pPr>
      <w:r>
        <w:rPr>
          <w:rFonts w:ascii="Arial" w:cs="Arial" w:eastAsia="Arial" w:hAnsi="Arial"/>
          <w:sz w:val="24"/>
          <w:szCs w:val="24"/>
        </w:rPr>
        <w:t xml:space="preserve">4) контроль за состоянием антитеррористической защиты предприятий и организаций, независимо от организационно-правовых форм и форм собственности, и требование от их руководства выполнения установленных норм и правил в области антитеррористической защиты объектов;</w:t>
      </w:r>
    </w:p>
    <w:p>
      <w:pPr>
        <w:spacing w:after="120"/>
        <w:jc w:val="both"/>
      </w:pPr>
      <w:r>
        <w:rPr>
          <w:rFonts w:ascii="Arial" w:cs="Arial" w:eastAsia="Arial" w:hAnsi="Arial"/>
          <w:sz w:val="24"/>
          <w:szCs w:val="24"/>
        </w:rPr>
        <w:t xml:space="preserve">5) организация работы антитеррористических подразделений по выявлению, нейтрализации и уничтожению террористов или террористических организаций (групп);</w:t>
      </w:r>
    </w:p>
    <w:p>
      <w:pPr>
        <w:spacing w:after="120"/>
        <w:jc w:val="both"/>
      </w:pPr>
      <w:r>
        <w:rPr>
          <w:rFonts w:ascii="Arial" w:cs="Arial" w:eastAsia="Arial" w:hAnsi="Arial"/>
          <w:sz w:val="24"/>
          <w:szCs w:val="24"/>
        </w:rPr>
        <w:t xml:space="preserve">6) организация взаимодействия с региональными антитеррористическими структурами ООН, СНГ, ШОС, ОДКБ, ОБСЕ и других международных организаций по проблемам антитеррористической деятельности;</w:t>
      </w:r>
    </w:p>
    <w:p>
      <w:pPr>
        <w:spacing w:after="120"/>
        <w:jc w:val="both"/>
      </w:pPr>
      <w:r>
        <w:rPr>
          <w:rFonts w:ascii="Arial" w:cs="Arial" w:eastAsia="Arial" w:hAnsi="Arial"/>
          <w:sz w:val="24"/>
          <w:szCs w:val="24"/>
        </w:rPr>
        <w:t xml:space="preserve">7) организация и координация межведомственной профессиональной подготовки личного состава подразделений по борьбе с терроризмом;</w:t>
      </w:r>
    </w:p>
    <w:p>
      <w:pPr>
        <w:spacing w:after="120"/>
        <w:jc w:val="both"/>
      </w:pPr>
      <w:r>
        <w:rPr>
          <w:rFonts w:ascii="Arial" w:cs="Arial" w:eastAsia="Arial" w:hAnsi="Arial"/>
          <w:sz w:val="24"/>
          <w:szCs w:val="24"/>
        </w:rPr>
        <w:t xml:space="preserve">8) организация и проведение командно-штабных, оперативно-тактических учений и иных антитеррористических мероприятий;</w:t>
      </w:r>
    </w:p>
    <w:p>
      <w:pPr>
        <w:spacing w:after="120"/>
        <w:jc w:val="both"/>
      </w:pPr>
      <w:r>
        <w:rPr>
          <w:rFonts w:ascii="Arial" w:cs="Arial" w:eastAsia="Arial" w:hAnsi="Arial"/>
          <w:sz w:val="24"/>
          <w:szCs w:val="24"/>
        </w:rPr>
        <w:t xml:space="preserve">9) формирование и обеспечение функционирования межведомственного банка данных по проблемам противодействия терроризму;</w:t>
      </w:r>
    </w:p>
    <w:p>
      <w:pPr>
        <w:spacing w:after="120"/>
        <w:jc w:val="both"/>
      </w:pPr>
      <w:r>
        <w:rPr>
          <w:rFonts w:ascii="Arial" w:cs="Arial" w:eastAsia="Arial" w:hAnsi="Arial"/>
          <w:sz w:val="24"/>
          <w:szCs w:val="24"/>
        </w:rPr>
        <w:t xml:space="preserve">10) организация научно-методической работы, направленной на совершенствование форм и методов антитеррористической деятельности;</w:t>
      </w:r>
    </w:p>
    <w:p>
      <w:pPr>
        <w:spacing w:after="120"/>
        <w:jc w:val="both"/>
      </w:pPr>
      <w:r>
        <w:rPr>
          <w:rFonts w:ascii="Arial" w:cs="Arial" w:eastAsia="Arial" w:hAnsi="Arial"/>
          <w:sz w:val="24"/>
          <w:szCs w:val="24"/>
        </w:rPr>
        <w:t xml:space="preserve">11) осуществление иных функций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6. АТЦ осуществляет следующие полномочия:</w:t>
      </w:r>
    </w:p>
    <w:p>
      <w:pPr>
        <w:spacing w:after="120"/>
        <w:jc w:val="both"/>
      </w:pPr>
      <w:r>
        <w:rPr>
          <w:rFonts w:ascii="Arial" w:cs="Arial" w:eastAsia="Arial" w:hAnsi="Arial"/>
          <w:sz w:val="24"/>
          <w:szCs w:val="24"/>
        </w:rPr>
        <w:t xml:space="preserve">1) принимает в пределах своей компетенции решения, необходимые для координации и совершенствования взаимодействия государственных органов, осуществляющих борьбу с терроризмом и экстремизмом;</w:t>
      </w:r>
    </w:p>
    <w:p>
      <w:pPr>
        <w:spacing w:after="120"/>
        <w:jc w:val="both"/>
      </w:pPr>
      <w:r>
        <w:rPr>
          <w:rFonts w:ascii="Arial" w:cs="Arial" w:eastAsia="Arial" w:hAnsi="Arial"/>
          <w:sz w:val="24"/>
          <w:szCs w:val="24"/>
        </w:rPr>
        <w:t xml:space="preserve">2) запрашивает у государственных и иных организаций и должностных лиц необходимые документы, материалы и информацию;</w:t>
      </w:r>
    </w:p>
    <w:p>
      <w:pPr>
        <w:spacing w:after="120"/>
        <w:jc w:val="both"/>
      </w:pPr>
      <w:r>
        <w:rPr>
          <w:rFonts w:ascii="Arial" w:cs="Arial" w:eastAsia="Arial" w:hAnsi="Arial"/>
          <w:sz w:val="24"/>
          <w:szCs w:val="24"/>
        </w:rPr>
        <w:t xml:space="preserve">3) создает рабочие группы для решения вопросов, входящих в компетенцию АТЦ и определять порядок работы этих групп;</w:t>
      </w:r>
    </w:p>
    <w:p>
      <w:pPr>
        <w:spacing w:after="120"/>
        <w:jc w:val="both"/>
      </w:pPr>
      <w:r>
        <w:rPr>
          <w:rFonts w:ascii="Arial" w:cs="Arial" w:eastAsia="Arial" w:hAnsi="Arial"/>
          <w:sz w:val="24"/>
          <w:szCs w:val="24"/>
        </w:rPr>
        <w:t xml:space="preserve">4) привлекает должностных лиц и специалистов государственных органов Кыргызской Республики (по согласованию с их руководителями) для участия в работе АТЦ;</w:t>
      </w:r>
    </w:p>
    <w:p>
      <w:pPr>
        <w:spacing w:after="120"/>
        <w:jc w:val="both"/>
      </w:pPr>
      <w:r>
        <w:rPr>
          <w:rFonts w:ascii="Arial" w:cs="Arial" w:eastAsia="Arial" w:hAnsi="Arial"/>
          <w:sz w:val="24"/>
          <w:szCs w:val="24"/>
        </w:rPr>
        <w:t xml:space="preserve">5) вносит в установленном порядке предложения по входящим в компетенцию АТЦ вопросам, требующим решения Президента Кыргызской Республики или Правительства Кыргызской Республики;</w:t>
      </w:r>
    </w:p>
    <w:p>
      <w:pPr>
        <w:spacing w:after="120"/>
        <w:jc w:val="both"/>
      </w:pPr>
      <w:r>
        <w:rPr>
          <w:rFonts w:ascii="Arial" w:cs="Arial" w:eastAsia="Arial" w:hAnsi="Arial"/>
          <w:sz w:val="24"/>
          <w:szCs w:val="24"/>
        </w:rPr>
        <w:t xml:space="preserve">6) осуществляет контроль за реализацией государственными органами Кыргызской Республики комплекса мер по усилению систем безопасности и готовности к нейтрализации террористических угроз.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деятельности</w:t>
      </w:r>
    </w:p>
    <w:p>
      <w:pPr>
        <w:spacing w:after="120"/>
        <w:jc w:val="both"/>
      </w:pPr>
      <w:r>
        <w:rPr>
          <w:rFonts w:ascii="Arial" w:cs="Arial" w:eastAsia="Arial" w:hAnsi="Arial"/>
          <w:sz w:val="24"/>
          <w:szCs w:val="24"/>
        </w:rPr>
        <w:t xml:space="preserve">Антитеррористического центра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Общее руководство и контроль за деятельностью АТЦ осуществляет председатель ГКНБ, который утверждает штатное расписание АТЦ, назначает на должность и освобождает от должности сотрудников АТЦ в порядке, установленном для сотрудников ГКНБ.</w:t>
      </w:r>
    </w:p>
    <w:p>
      <w:pPr>
        <w:spacing w:after="120"/>
        <w:jc w:val="both"/>
      </w:pPr>
      <w:r>
        <w:rPr>
          <w:rFonts w:ascii="Arial" w:cs="Arial" w:eastAsia="Arial" w:hAnsi="Arial"/>
          <w:sz w:val="24"/>
          <w:szCs w:val="24"/>
        </w:rPr>
        <w:t xml:space="preserve">8. Непосредственное руководство и управление деятельностью АТЦ осуществляет директор АТЦ, являющийся заместителем председателя ГКНБ.</w:t>
      </w:r>
    </w:p>
    <w:p>
      <w:pPr>
        <w:spacing w:after="120"/>
        <w:jc w:val="left"/>
      </w:pPr>
      <w:r>
        <w:rPr>
          <w:rFonts w:ascii="Arial" w:cs="Arial" w:eastAsia="Arial" w:hAnsi="Arial"/>
          <w:sz w:val="24"/>
          <w:szCs w:val="24"/>
        </w:rPr>
        <w:t xml:space="preserve">(В редакции </w:t>
      </w:r>
      <w:hyperlink w:history="1" r:id="rIdbngxlppgepajvcbrwho6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12 апреля 2012 года УП №85)</w:t>
      </w:r>
    </w:p>
    <w:p>
      <w:pPr>
        <w:spacing w:after="120"/>
        <w:jc w:val="both"/>
      </w:pPr>
      <w:r>
        <w:rPr>
          <w:rFonts w:ascii="Arial" w:cs="Arial" w:eastAsia="Arial" w:hAnsi="Arial"/>
          <w:sz w:val="24"/>
          <w:szCs w:val="24"/>
        </w:rPr>
        <w:t xml:space="preserve">9. Директор:</w:t>
      </w:r>
    </w:p>
    <w:p>
      <w:pPr>
        <w:spacing w:after="120"/>
        <w:jc w:val="both"/>
      </w:pPr>
      <w:r>
        <w:rPr>
          <w:rFonts w:ascii="Arial" w:cs="Arial" w:eastAsia="Arial" w:hAnsi="Arial"/>
          <w:sz w:val="24"/>
          <w:szCs w:val="24"/>
        </w:rPr>
        <w:t xml:space="preserve">1) организует работу, определяет полномочия должностных лиц, задачи структурных подразделений и внутренний распорядок работы АТЦ;</w:t>
      </w:r>
    </w:p>
    <w:p>
      <w:pPr>
        <w:spacing w:after="120"/>
        <w:jc w:val="both"/>
      </w:pPr>
      <w:r>
        <w:rPr>
          <w:rFonts w:ascii="Arial" w:cs="Arial" w:eastAsia="Arial" w:hAnsi="Arial"/>
          <w:sz w:val="24"/>
          <w:szCs w:val="24"/>
        </w:rPr>
        <w:t xml:space="preserve">2) несет персональную ответственность за выполнение задач, возложенных на АТЦ;</w:t>
      </w:r>
    </w:p>
    <w:p>
      <w:pPr>
        <w:spacing w:after="120"/>
        <w:jc w:val="both"/>
      </w:pPr>
      <w:r>
        <w:rPr>
          <w:rFonts w:ascii="Arial" w:cs="Arial" w:eastAsia="Arial" w:hAnsi="Arial"/>
          <w:sz w:val="24"/>
          <w:szCs w:val="24"/>
        </w:rPr>
        <w:t xml:space="preserve">3) представляет на утверждение председателю ГКНБ организационно-штатную структуру АТЦ в пределах, утвержденной Президентом Кыргызской Республики штатной численности АТЦ и выделенных бюджетных ассигнований;</w:t>
      </w:r>
    </w:p>
    <w:p>
      <w:pPr>
        <w:spacing w:after="120"/>
        <w:jc w:val="both"/>
      </w:pPr>
      <w:r>
        <w:rPr>
          <w:rFonts w:ascii="Arial" w:cs="Arial" w:eastAsia="Arial" w:hAnsi="Arial"/>
          <w:sz w:val="24"/>
          <w:szCs w:val="24"/>
        </w:rPr>
        <w:t xml:space="preserve">4) осуществляет другие полномочия в соответствии с законодательством Кыргызской Республики.</w:t>
      </w:r>
    </w:p>
    <w:p>
      <w:pPr>
        <w:spacing w:after="120"/>
        <w:jc w:val="both"/>
      </w:pPr>
      <w:r>
        <w:rPr>
          <w:rFonts w:ascii="Arial" w:cs="Arial" w:eastAsia="Arial" w:hAnsi="Arial"/>
          <w:sz w:val="24"/>
          <w:szCs w:val="24"/>
        </w:rPr>
        <w:t xml:space="preserve">Во время отсутствия директора его обязанности исполняет заместитель директора.</w:t>
      </w:r>
    </w:p>
    <w:p>
      <w:pPr>
        <w:spacing w:after="120"/>
        <w:jc w:val="both"/>
      </w:pPr>
      <w:r>
        <w:rPr>
          <w:rFonts w:ascii="Arial" w:cs="Arial" w:eastAsia="Arial" w:hAnsi="Arial"/>
          <w:sz w:val="24"/>
          <w:szCs w:val="24"/>
        </w:rPr>
        <w:t xml:space="preserve">10. В АТЦ создается республиканский "ситуационный центр", оснащенный соответствующим помещением и техническими средствами, где осуществляет управление и руководство антитеррористической операцией республиканский оперативный штаб.</w:t>
      </w:r>
    </w:p>
    <w:p>
      <w:pPr>
        <w:spacing w:after="120"/>
        <w:jc w:val="both"/>
      </w:pPr>
      <w:r>
        <w:rPr>
          <w:rFonts w:ascii="Arial" w:cs="Arial" w:eastAsia="Arial" w:hAnsi="Arial"/>
          <w:sz w:val="24"/>
          <w:szCs w:val="24"/>
        </w:rPr>
        <w:t xml:space="preserve">11. При АТЦ создаются:</w:t>
      </w:r>
    </w:p>
    <w:p>
      <w:pPr>
        <w:spacing w:after="120"/>
        <w:jc w:val="both"/>
      </w:pPr>
      <w:r>
        <w:rPr>
          <w:rFonts w:ascii="Arial" w:cs="Arial" w:eastAsia="Arial" w:hAnsi="Arial"/>
          <w:sz w:val="24"/>
          <w:szCs w:val="24"/>
        </w:rPr>
        <w:t xml:space="preserve">1) Межведомственная координационная комиссия (далее - МКК);</w:t>
      </w:r>
    </w:p>
    <w:p>
      <w:pPr>
        <w:spacing w:after="120"/>
        <w:jc w:val="both"/>
      </w:pPr>
      <w:r>
        <w:rPr>
          <w:rFonts w:ascii="Arial" w:cs="Arial" w:eastAsia="Arial" w:hAnsi="Arial"/>
          <w:sz w:val="24"/>
          <w:szCs w:val="24"/>
        </w:rPr>
        <w:t xml:space="preserve">2) координационные группы при территориальных органах ГКНБ.</w:t>
      </w:r>
    </w:p>
    <w:p>
      <w:pPr>
        <w:spacing w:after="120"/>
        <w:jc w:val="both"/>
      </w:pPr>
      <w:r>
        <w:rPr>
          <w:rFonts w:ascii="Arial" w:cs="Arial" w:eastAsia="Arial" w:hAnsi="Arial"/>
          <w:sz w:val="24"/>
          <w:szCs w:val="24"/>
        </w:rPr>
        <w:t xml:space="preserve">12. МКК является коллегиальным совещательным органом АТЦ под председательством директора АТЦ, в состав которого входят заместитель Генерального прокурора Кыргызской Республики, заместитель министра внутренних дел Кыргызской Республики, заместитель министра обороны Кыргызской Республики, заместитель министра чрезвычайных ситуаций Кыргызской Республики, заместитель министра юстиции Кыргызской Республики, заместитель министра транспорта и коммуникаций Кыргызской Республики, заместитель министра энергетики Кыргызской Республики, заместитель председателя Государственной службы финансовой разведки Кыргызской Республики, заместитель председателя Государственной службы исполнения наказаний при Правительстве Кыргызской Республики, заместитель председателя Государственной таможенной службы при Правительстве Кыргызской Республики, заместитель командующего Пограничными войсками ГКНБ, заместитель директора АТЦ.</w:t>
      </w:r>
    </w:p>
    <w:p>
      <w:pPr>
        <w:spacing w:after="120"/>
        <w:jc w:val="both"/>
      </w:pPr>
      <w:r>
        <w:rPr>
          <w:rFonts w:ascii="Arial" w:cs="Arial" w:eastAsia="Arial" w:hAnsi="Arial"/>
          <w:sz w:val="24"/>
          <w:szCs w:val="24"/>
        </w:rPr>
        <w:t xml:space="preserve">При необходимости к работе в МКК могут привлекаться руководители иных государственных органов, задействованных в проведении мероприятий по противодействию терроризму и экстремизму.</w:t>
      </w:r>
    </w:p>
    <w:p>
      <w:pPr>
        <w:spacing w:after="120"/>
        <w:jc w:val="both"/>
      </w:pPr>
      <w:r>
        <w:rPr>
          <w:rFonts w:ascii="Arial" w:cs="Arial" w:eastAsia="Arial" w:hAnsi="Arial"/>
          <w:sz w:val="24"/>
          <w:szCs w:val="24"/>
        </w:rPr>
        <w:t xml:space="preserve">13. Субъекты антитеррористической деятельности назначают должностное лицо, ответственное за взаимодействие с АТЦ.</w:t>
      </w:r>
    </w:p>
    <w:p>
      <w:pPr>
        <w:spacing w:after="120"/>
        <w:jc w:val="both"/>
      </w:pPr>
      <w:r>
        <w:rPr>
          <w:rFonts w:ascii="Arial" w:cs="Arial" w:eastAsia="Arial" w:hAnsi="Arial"/>
          <w:sz w:val="24"/>
          <w:szCs w:val="24"/>
        </w:rPr>
        <w:t xml:space="preserve">14. Координационные группы АТЦ при территориальных органах ГКНБ возглавляют начальники управлений ГКНБ по областям. В состав координационной группы входят: прокуроры областей, начальники областных управлений внутренних дел, юстиции, командующие региональными группировками войск Министерства обороны, начальники региональных управлений Министерства чрезвычайных ситуаций, командиры подразделений Пограничных войск ГКНБ, первые заместители губернаторов областей, вице-мэры г.Бишкек и г.Ош.</w:t>
      </w:r>
    </w:p>
    <w:p>
      <w:pPr>
        <w:spacing w:after="120"/>
        <w:jc w:val="both"/>
      </w:pPr>
      <w:r>
        <w:rPr>
          <w:rFonts w:ascii="Arial" w:cs="Arial" w:eastAsia="Arial" w:hAnsi="Arial"/>
          <w:sz w:val="24"/>
          <w:szCs w:val="24"/>
        </w:rPr>
        <w:t xml:space="preserve">15. Разработка ежегодного плана работы МКК, организация проведения заседаний и подготовка материалов по вопросам, включенным в повестку дня, разработка и представление на согласование в МКК проектов межведомственных планов предупреждения и пресечения террористических акций осуществляется АТЦ.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Межведомственная координационная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Основной формой деятельности МКК являются заседания, которые проводятся не реже двух раз в год. В случае террористических проявлений или угрозы их совершения проводятся внеочередные заседания. МКК решает стратегические вопросы координации и взаимодействия, рассматривает разработанные проекты концептуальных положений и программ антитеррористической деятельности, принимает решения о необходимости инициирования разработки законодательных и иных нормативных правовых актов Кыргызской Республики, внесения в них изменений и дополнений, проведения командно-штабных и тактико-оперативных учений, согласовывает межведомственные планы, регламентирует работу координационных групп при территориальных органах ГКНБ в областях, дает соответствующие поручения.</w:t>
      </w:r>
    </w:p>
    <w:p>
      <w:pPr>
        <w:spacing w:after="120"/>
        <w:jc w:val="both"/>
      </w:pPr>
      <w:r>
        <w:rPr>
          <w:rFonts w:ascii="Arial" w:cs="Arial" w:eastAsia="Arial" w:hAnsi="Arial"/>
          <w:sz w:val="24"/>
          <w:szCs w:val="24"/>
        </w:rPr>
        <w:t xml:space="preserve">17. Заседания МКК проводятся в соответствии с ежегодным планом работы МКК, согласованным с ее членами и утверждаемым директором АТЦ. Непосредственную подготовку материалов к заседаниям МКК осуществляет АТЦ. На основе анализа обобщенные, справочные и другие необходимые материалы, а также проект решения МКК по рассматриваемым вопросам готовятся и представляются не позднее, чем за 15 рабочих дней до предполагаемой даты заседания МКК. Все подготовленные материалы не позднее, чем за 7 рабочих дней до предполагаемой даты заседания направляются членам МКК. По окончании заседания МКК проекты решений дорабатываются АТЦ и включаются в протокол, который подписывает директор АТЦ или лицо, его замещающее.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Координационные группы при территориальных</w:t>
      </w:r>
    </w:p>
    <w:p>
      <w:pPr>
        <w:spacing w:after="120"/>
        <w:jc w:val="both"/>
      </w:pPr>
      <w:r>
        <w:rPr>
          <w:rFonts w:ascii="Arial" w:cs="Arial" w:eastAsia="Arial" w:hAnsi="Arial"/>
          <w:sz w:val="24"/>
          <w:szCs w:val="24"/>
        </w:rPr>
        <w:t xml:space="preserve">органах ГКНБ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Координационные группы при территориальных органах ГКНБ обеспечивают взаимодействие в деятельности антитеррористических субъектов, осуществляющих борьбу с терроризмом и иными проявлениями экстремизма в регионах, выполняют принятые решения МКК и решают следующие задачи:</w:t>
      </w:r>
    </w:p>
    <w:p>
      <w:pPr>
        <w:spacing w:after="120"/>
        <w:jc w:val="both"/>
      </w:pPr>
      <w:r>
        <w:rPr>
          <w:rFonts w:ascii="Arial" w:cs="Arial" w:eastAsia="Arial" w:hAnsi="Arial"/>
          <w:sz w:val="24"/>
          <w:szCs w:val="24"/>
        </w:rPr>
        <w:t xml:space="preserve">1) обобщение, анализ и прогноз оперативной обстановки, возможных террористических угроз и их проявлений в регионах;</w:t>
      </w:r>
    </w:p>
    <w:p>
      <w:pPr>
        <w:spacing w:after="120"/>
        <w:jc w:val="both"/>
      </w:pPr>
      <w:r>
        <w:rPr>
          <w:rFonts w:ascii="Arial" w:cs="Arial" w:eastAsia="Arial" w:hAnsi="Arial"/>
          <w:sz w:val="24"/>
          <w:szCs w:val="24"/>
        </w:rPr>
        <w:t xml:space="preserve">2) разработка планов превентивных антитеррористических мероприятий и мер в отношении наиболее вероятных объектов террористических устремлений;</w:t>
      </w:r>
    </w:p>
    <w:p>
      <w:pPr>
        <w:spacing w:after="120"/>
        <w:jc w:val="both"/>
      </w:pPr>
      <w:r>
        <w:rPr>
          <w:rFonts w:ascii="Arial" w:cs="Arial" w:eastAsia="Arial" w:hAnsi="Arial"/>
          <w:sz w:val="24"/>
          <w:szCs w:val="24"/>
        </w:rPr>
        <w:t xml:space="preserve">3) проведение по указанию МКК учений и тренировок;</w:t>
      </w:r>
    </w:p>
    <w:p>
      <w:pPr>
        <w:spacing w:after="120"/>
        <w:jc w:val="both"/>
      </w:pPr>
      <w:r>
        <w:rPr>
          <w:rFonts w:ascii="Arial" w:cs="Arial" w:eastAsia="Arial" w:hAnsi="Arial"/>
          <w:sz w:val="24"/>
          <w:szCs w:val="24"/>
        </w:rPr>
        <w:t xml:space="preserve">4) выработка предложений по оптимизации и совершенствованию антитеррористической деятельности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Финансирование деятельности АТЦ, его организационно-техническое обеспечение осуществляется за счет средств республиканского бюджета и иных источников финансирования,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qik5yyy_jkfsgaw4urj5">
      <w:r>
        <w:rPr>
          <w:rFonts w:ascii="Arial" w:cs="Arial" w:eastAsia="Arial" w:hAnsi="Arial"/>
          <w:color w:val="132D3F"/>
          <w:sz w:val="16"/>
          <w:szCs w:val="16"/>
          <w:u w:val="single"/>
        </w:rPr>
        <w:t xml:space="preserve">dalil.kg/document/61581</w:t>
      </w:r>
    </w:hyperlink>
  </w:p>
  <w:p>
    <w:pPr>
      <w:spacing w:after="0" w:before="40"/>
      <w:jc w:val="center"/>
    </w:pPr>
    <w:hyperlink w:history="1" r:id="rIdhk80gwgglegmnjzu8-m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dl3gfo6sr1xhmpellb" Type="http://schemas.openxmlformats.org/officeDocument/2006/relationships/hyperlink" Target="https://dalil.kg/document/61564" TargetMode="External"/><Relationship Id="rIdso_432h1okf3xy8nnxtsp" Type="http://schemas.openxmlformats.org/officeDocument/2006/relationships/hyperlink" Target="https://dalil.kg/document/61326" TargetMode="External"/><Relationship Id="rIdbngxlppgepajvcbrwho60" Type="http://schemas.openxmlformats.org/officeDocument/2006/relationships/hyperlink" Target="https://dalil.kg/document/613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qik5yyy_jkfsgaw4urj5" Type="http://schemas.openxmlformats.org/officeDocument/2006/relationships/hyperlink" Target="https://dalil.kg/document/61581" TargetMode="External"/><Relationship Id="rIdhk80gwgglegmnjzu8-m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2026-10-05T06:52:27.043Z</dcterms:created>
  <dcterms:modified xsi:type="dcterms:W3CDTF">2026-10-05T06:52:27.043Z</dcterms:modified>
</cp:coreProperties>
</file>

<file path=docProps/custom.xml><?xml version="1.0" encoding="utf-8"?>
<Properties xmlns="http://schemas.openxmlformats.org/officeDocument/2006/custom-properties" xmlns:vt="http://schemas.openxmlformats.org/officeDocument/2006/docPropsVTypes"/>
</file>