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февраля 2009 года № 93</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Республики"О государственной службе" и "О внесении дополнений и изменения в Трудовой кодекс Кыргызской Республики"</w:t>
      </w:r>
    </w:p>
    <w:p>
      <w:pPr>
        <w:spacing w:after="120"/>
        <w:jc w:val="both"/>
      </w:pPr>
      <w:r>
        <w:rPr>
          <w:rFonts w:ascii="Arial" w:cs="Arial" w:eastAsia="Arial" w:hAnsi="Arial"/>
          <w:sz w:val="24"/>
          <w:szCs w:val="24"/>
        </w:rPr>
        <w:t xml:space="preserve">В соответствии со статьей 65 </w:t>
      </w:r>
      <w:hyperlink w:history="1" r:id="rIdz9hner4ovznwcfqzzg-8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v4i2tmqvbyt78y4lklrj6">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t89zo_g0hydvwctun_i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государственной службе" и "О внесении дополнений и изменения в Трудовой кодекс Кыргызской Республики".</w:t>
      </w:r>
    </w:p>
    <w:p>
      <w:pPr>
        <w:spacing w:after="120"/>
        <w:jc w:val="both"/>
      </w:pPr>
      <w:r>
        <w:rPr>
          <w:rFonts w:ascii="Arial" w:cs="Arial" w:eastAsia="Arial" w:hAnsi="Arial"/>
          <w:sz w:val="24"/>
          <w:szCs w:val="24"/>
        </w:rPr>
        <w:t xml:space="preserve">2. Направить указанный законопроект в Администрацию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hyperlink w:history="1" r:id="rId-t0nxaafzpbaxvnfblhjb">
        <w:r>
          <w:rPr>
            <w:rFonts w:ascii="Arial" w:cs="Arial" w:eastAsia="Arial" w:hAnsi="Arial"/>
            <w:color w:val="1D4ED8"/>
            <w:sz w:val="24"/>
            <w:szCs w:val="24"/>
            <w:u w:val="single"/>
          </w:rPr>
          <w:t xml:space="preserve">Одобрено</w:t>
        </w:r>
      </w:hyperlink>
      <w:r>
        <w:rPr>
          <w:rFonts w:ascii="Arial" w:cs="Arial" w:eastAsia="Arial" w:hAnsi="Arial"/>
          <w:sz w:val="24"/>
          <w:szCs w:val="24"/>
        </w:rPr>
        <w:t xml:space="preserve"> </w:t>
      </w:r>
      <w:hyperlink w:history="1" r:id="rIdbbnrahvyh-ekczgvlao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2009 года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государственной службе" и "О внесении дополнений и изменения в Трудовой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gofyuc8f7fsotg1-5kby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рассмотрев проекты законов Кыргызской Республики "О государственной службе" и "О внесении дополнений и изменения в Трудовой кодекс Кыргызской Республики", вносит следующие замечания и предложения.</w:t>
      </w:r>
    </w:p>
    <w:p>
      <w:pPr>
        <w:spacing w:after="120"/>
        <w:jc w:val="both"/>
      </w:pPr>
      <w:r>
        <w:rPr>
          <w:rFonts w:ascii="Arial" w:cs="Arial" w:eastAsia="Arial" w:hAnsi="Arial"/>
          <w:sz w:val="24"/>
          <w:szCs w:val="24"/>
        </w:rPr>
        <w:t xml:space="preserve">I. По проекту Закона Кыргызской Республики "О государственной службе" отмечаем следующее.</w:t>
      </w:r>
    </w:p>
    <w:p>
      <w:pPr>
        <w:spacing w:after="120"/>
        <w:jc w:val="both"/>
      </w:pPr>
      <w:r>
        <w:rPr>
          <w:rFonts w:ascii="Arial" w:cs="Arial" w:eastAsia="Arial" w:hAnsi="Arial"/>
          <w:sz w:val="24"/>
          <w:szCs w:val="24"/>
        </w:rPr>
        <w:t xml:space="preserve">1. В целях исключения противоречий с законодательством Кыргызской Республики предлагаем понятие "политическая государственная должность" изложить в следующей редакции:</w:t>
      </w:r>
    </w:p>
    <w:p>
      <w:pPr>
        <w:spacing w:after="120"/>
        <w:jc w:val="both"/>
      </w:pPr>
      <w:r>
        <w:rPr>
          <w:rFonts w:ascii="Arial" w:cs="Arial" w:eastAsia="Arial" w:hAnsi="Arial"/>
          <w:sz w:val="24"/>
          <w:szCs w:val="24"/>
        </w:rPr>
        <w:t xml:space="preserve">"- политическая государственная должность - государственная должность, назначение (избрание) и освобождение от которой производится Президентом, Жогорку Кенешем, Премьер-министром Кыргызской Республики в установленном законодательством порядке, предусмотренная реестром политических и специальных государственных должностей Кыргызской Республики и с определением круга полномочий, установленных для них Конституцией, законами Кыргызской Республики, указами Президента, постановлениями Правительства Кыргызской Республики.".</w:t>
      </w:r>
    </w:p>
    <w:p>
      <w:pPr>
        <w:spacing w:after="120"/>
        <w:jc w:val="both"/>
      </w:pPr>
      <w:r>
        <w:rPr>
          <w:rFonts w:ascii="Arial" w:cs="Arial" w:eastAsia="Arial" w:hAnsi="Arial"/>
          <w:sz w:val="24"/>
          <w:szCs w:val="24"/>
        </w:rPr>
        <w:t xml:space="preserve">2. Во избежание дублирования предлагаем пункты 2 и 3 статьи 14 объединить.</w:t>
      </w:r>
    </w:p>
    <w:p>
      <w:pPr>
        <w:spacing w:after="120"/>
        <w:jc w:val="both"/>
      </w:pPr>
      <w:r>
        <w:rPr>
          <w:rFonts w:ascii="Arial" w:cs="Arial" w:eastAsia="Arial" w:hAnsi="Arial"/>
          <w:sz w:val="24"/>
          <w:szCs w:val="24"/>
        </w:rPr>
        <w:t xml:space="preserve">3. Должность статс-секретаря является высшей административной государственной должностью, то соответственно порядок пребывания на ней определяется Конституцией и иными нормативными правовыми актами Кыргызской Республики. В связи с этим, предлагаем пункт 3 статьи 18 изложить в следующей редакции:</w:t>
      </w:r>
    </w:p>
    <w:p>
      <w:pPr>
        <w:spacing w:after="120"/>
        <w:jc w:val="both"/>
      </w:pPr>
      <w:r>
        <w:rPr>
          <w:rFonts w:ascii="Arial" w:cs="Arial" w:eastAsia="Arial" w:hAnsi="Arial"/>
          <w:sz w:val="24"/>
          <w:szCs w:val="24"/>
        </w:rPr>
        <w:t xml:space="preserve">"3. Отставка (освобождение) руководителя государственного органа от должности не является основанием для освобождения статс-секретаря.</w:t>
      </w:r>
    </w:p>
    <w:p>
      <w:pPr>
        <w:spacing w:after="120"/>
        <w:jc w:val="both"/>
      </w:pPr>
      <w:r>
        <w:rPr>
          <w:rFonts w:ascii="Arial" w:cs="Arial" w:eastAsia="Arial" w:hAnsi="Arial"/>
          <w:sz w:val="24"/>
          <w:szCs w:val="24"/>
        </w:rPr>
        <w:t xml:space="preserve">Статс-секретарь не подлежит переводу в другой государственный орган.".</w:t>
      </w:r>
    </w:p>
    <w:p>
      <w:pPr>
        <w:spacing w:after="120"/>
        <w:jc w:val="both"/>
      </w:pPr>
      <w:r>
        <w:rPr>
          <w:rFonts w:ascii="Arial" w:cs="Arial" w:eastAsia="Arial" w:hAnsi="Arial"/>
          <w:sz w:val="24"/>
          <w:szCs w:val="24"/>
        </w:rPr>
        <w:t xml:space="preserve">4. Законопроектом предусматривается порядок занятия административных должностей государственной службы по конкурсу. Одновременно предусмотрено замещение должности из резерва. Однако при этом сохраняется противоречие между указанными выше вариантами замещения государственных должностей.</w:t>
      </w:r>
    </w:p>
    <w:p>
      <w:pPr>
        <w:spacing w:after="120"/>
        <w:jc w:val="both"/>
      </w:pPr>
      <w:r>
        <w:rPr>
          <w:rFonts w:ascii="Arial" w:cs="Arial" w:eastAsia="Arial" w:hAnsi="Arial"/>
          <w:sz w:val="24"/>
          <w:szCs w:val="24"/>
        </w:rPr>
        <w:t xml:space="preserve">Полагаем необходимым в целях преемственности государственной службы регламентировать приоритетный порядок замещения старших и главных должностей государственной службы из внешнего и внутреннего резерва кадров. Занятие младших должностей осуществлять исключительно на конкурсной основе. При замещении должности из резерва преимущество отдавать внутреннему резерву кадров, что стимулирует работу по его созданию. Наличие внутреннего резерва кадров государственного органа должно быть обязательным условием и работа по его созданию - главным приоритетом в деятельности статс-секретаря.</w:t>
      </w:r>
    </w:p>
    <w:p>
      <w:pPr>
        <w:spacing w:after="120"/>
        <w:jc w:val="both"/>
      </w:pPr>
      <w:r>
        <w:rPr>
          <w:rFonts w:ascii="Arial" w:cs="Arial" w:eastAsia="Arial" w:hAnsi="Arial"/>
          <w:sz w:val="24"/>
          <w:szCs w:val="24"/>
        </w:rPr>
        <w:t xml:space="preserve">При этом, полагаем целесообразным внешний резерв кадров обозначать как "Государственный резерв кадров государственной службы".</w:t>
      </w:r>
    </w:p>
    <w:p>
      <w:pPr>
        <w:spacing w:after="120"/>
        <w:jc w:val="both"/>
      </w:pPr>
      <w:r>
        <w:rPr>
          <w:rFonts w:ascii="Arial" w:cs="Arial" w:eastAsia="Arial" w:hAnsi="Arial"/>
          <w:sz w:val="24"/>
          <w:szCs w:val="24"/>
        </w:rPr>
        <w:t xml:space="preserve">В связи с изложенным предлагаем внести соответствующие коррективы в статью 21 и главу 5 законопроекта.</w:t>
      </w:r>
    </w:p>
    <w:p>
      <w:pPr>
        <w:spacing w:after="120"/>
        <w:jc w:val="both"/>
      </w:pPr>
      <w:r>
        <w:rPr>
          <w:rFonts w:ascii="Arial" w:cs="Arial" w:eastAsia="Arial" w:hAnsi="Arial"/>
          <w:sz w:val="24"/>
          <w:szCs w:val="24"/>
        </w:rPr>
        <w:t xml:space="preserve">5. Проектом Закона предусматривается выделение финансовых средств для проведения обучения государственных служащих. Так, статья 23 регулирует выделение средств в размере одного процента от средств государственного органа. Однако проектом не предусматривается механизм реализации данной правовой нормы. В связи с этим представляется целесообразным предусмотреть создание централизованного фонда (в пределах 0,5-1 процента от средств выделяемых на содержание государственных органов). Полномочия по распределению средств на обучение возложить на уполномоченный орган по делам государственной службы.</w:t>
      </w:r>
    </w:p>
    <w:p>
      <w:pPr>
        <w:spacing w:after="120"/>
        <w:jc w:val="both"/>
      </w:pPr>
      <w:r>
        <w:rPr>
          <w:rFonts w:ascii="Arial" w:cs="Arial" w:eastAsia="Arial" w:hAnsi="Arial"/>
          <w:sz w:val="24"/>
          <w:szCs w:val="24"/>
        </w:rPr>
        <w:t xml:space="preserve">Поскольку республиканский бюджет на 2009 год утвержден, введение данных положений необходимо предусмотреть с 2010 года.</w:t>
      </w:r>
    </w:p>
    <w:p>
      <w:pPr>
        <w:spacing w:after="120"/>
        <w:jc w:val="both"/>
      </w:pPr>
      <w:r>
        <w:rPr>
          <w:rFonts w:ascii="Arial" w:cs="Arial" w:eastAsia="Arial" w:hAnsi="Arial"/>
          <w:sz w:val="24"/>
          <w:szCs w:val="24"/>
        </w:rPr>
        <w:t xml:space="preserve">6. Пунктом 3 статьи 34 предусмотрено, что лица, занимающие политические или специальные должности, вправе пользоваться услугами патронатной государственной должности. В связи с чем предлагаем увязать данную норму со штатным расписанием и иными положениями, регулирующими данный вопрос.</w:t>
      </w:r>
    </w:p>
    <w:p>
      <w:pPr>
        <w:spacing w:after="120"/>
        <w:jc w:val="both"/>
      </w:pPr>
      <w:r>
        <w:rPr>
          <w:rFonts w:ascii="Arial" w:cs="Arial" w:eastAsia="Arial" w:hAnsi="Arial"/>
          <w:sz w:val="24"/>
          <w:szCs w:val="24"/>
        </w:rPr>
        <w:t xml:space="preserve">7. Главу 6 проекта предлагаем исключить, так как, согласно принципам государственной службы, предполагается постоянный характер административной государственной службы и ее срок не может быть ограничен контрактом.</w:t>
      </w:r>
    </w:p>
    <w:p>
      <w:pPr>
        <w:spacing w:after="120"/>
        <w:jc w:val="both"/>
      </w:pPr>
      <w:r>
        <w:rPr>
          <w:rFonts w:ascii="Arial" w:cs="Arial" w:eastAsia="Arial" w:hAnsi="Arial"/>
          <w:sz w:val="24"/>
          <w:szCs w:val="24"/>
        </w:rPr>
        <w:t xml:space="preserve">8. Статьи 47 и 48 регулируют соответственно перемещение и перевод государственных служащих. Однако регулирование перемещения государственных служащих через указанные механизмы создаст осложнение в части финансовой отчетности государственных органов. В связи с этим, предлагаем перемещение государственных служащих регулировать через издание актов об освобождении и назначении на должности.</w:t>
      </w:r>
    </w:p>
    <w:p>
      <w:pPr>
        <w:spacing w:after="120"/>
        <w:jc w:val="both"/>
      </w:pPr>
      <w:r>
        <w:rPr>
          <w:rFonts w:ascii="Arial" w:cs="Arial" w:eastAsia="Arial" w:hAnsi="Arial"/>
          <w:sz w:val="24"/>
          <w:szCs w:val="24"/>
        </w:rPr>
        <w:t xml:space="preserve">9. Относительно статьи 78 отмечаем, что в целях создания преемственности государственной службы предлагаем предусмотреть иной порядок предоставления государственных гарантий государственным служащим при ликвидации (сокращении) или реорганизации государственных органов. Данный порядок мог бы предусматривать сохранение вышеуказанной категории лиц в государственном резерве государственной службы в течение трех месяцев, с приоритетным правом на занятие вакантных должностей. При этом, им бы выплачивалась компенсация, предусмотренная подпунктом 2 пункта 2 статьи 78.</w:t>
      </w:r>
    </w:p>
    <w:p>
      <w:pPr>
        <w:spacing w:after="120"/>
        <w:jc w:val="both"/>
      </w:pPr>
      <w:r>
        <w:rPr>
          <w:rFonts w:ascii="Arial" w:cs="Arial" w:eastAsia="Arial" w:hAnsi="Arial"/>
          <w:sz w:val="24"/>
          <w:szCs w:val="24"/>
        </w:rPr>
        <w:t xml:space="preserve">II. По проекту Закона Кыргызской Республики "О внесении дополнений и изменения в Трудовой кодекс Кыргызской Республики" сообщаем следующее.</w:t>
      </w:r>
    </w:p>
    <w:p>
      <w:pPr>
        <w:spacing w:after="120"/>
        <w:jc w:val="both"/>
      </w:pPr>
      <w:r>
        <w:rPr>
          <w:rFonts w:ascii="Arial" w:cs="Arial" w:eastAsia="Arial" w:hAnsi="Arial"/>
          <w:sz w:val="24"/>
          <w:szCs w:val="24"/>
        </w:rPr>
        <w:t xml:space="preserve">В целях исключения юридических коллизий между трудовым законодательством и нормативными правовыми актами в сфере государственной службы предлагаем дополнить проект следующей нормой:</w:t>
      </w:r>
    </w:p>
    <w:p>
      <w:pPr>
        <w:spacing w:after="120"/>
        <w:jc w:val="both"/>
      </w:pPr>
      <w:r>
        <w:rPr>
          <w:rFonts w:ascii="Arial" w:cs="Arial" w:eastAsia="Arial" w:hAnsi="Arial"/>
          <w:sz w:val="24"/>
          <w:szCs w:val="24"/>
        </w:rPr>
        <w:t xml:space="preserve">"Дополнить статью 6 частью следующего содержания:</w:t>
      </w:r>
    </w:p>
    <w:p>
      <w:pPr>
        <w:spacing w:after="120"/>
        <w:jc w:val="both"/>
      </w:pPr>
      <w:r>
        <w:rPr>
          <w:rFonts w:ascii="Arial" w:cs="Arial" w:eastAsia="Arial" w:hAnsi="Arial"/>
          <w:sz w:val="24"/>
          <w:szCs w:val="24"/>
        </w:rPr>
        <w:t xml:space="preserve">"В случае противоречий между настоящим Кодексом и нормативными правовыми актами в сфере государственной службы применяется законодательство в сфере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4je7ncni9mlo_o8usmt">
      <w:r>
        <w:rPr>
          <w:rFonts w:ascii="Arial" w:cs="Arial" w:eastAsia="Arial" w:hAnsi="Arial"/>
          <w:color w:val="132D3F"/>
          <w:sz w:val="16"/>
          <w:szCs w:val="16"/>
          <w:u w:val="single"/>
        </w:rPr>
        <w:t xml:space="preserve">dalil.kg/document/70047</w:t>
      </w:r>
    </w:hyperlink>
  </w:p>
  <w:p>
    <w:pPr>
      <w:spacing w:after="0" w:before="40"/>
      <w:jc w:val="center"/>
    </w:pPr>
    <w:hyperlink w:history="1" r:id="rIdau1lecx1t4uuuxhodhd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hner4ovznwcfqzzg-84" Type="http://schemas.openxmlformats.org/officeDocument/2006/relationships/hyperlink" Target="https://dalil.kg/document/1" TargetMode="External"/><Relationship Id="rIdv4i2tmqvbyt78y4lklrj6" Type="http://schemas.openxmlformats.org/officeDocument/2006/relationships/hyperlink" Target="https://dalil.kg/document/1754" TargetMode="External"/><Relationship Id="rIdtt89zo_g0hydvwctun_ih" Type="http://schemas.openxmlformats.org/officeDocument/2006/relationships/hyperlink" Target="https://dalil.kg/document/70047#p1" TargetMode="External"/><Relationship Id="rId-t0nxaafzpbaxvnfblhjb" Type="http://schemas.openxmlformats.org/officeDocument/2006/relationships/hyperlink" Target="https://dalil.kg/document/70047#p1" TargetMode="External"/><Relationship Id="rIdbbnrahvyh-ekczgvlaotd" Type="http://schemas.openxmlformats.org/officeDocument/2006/relationships/hyperlink" Target="https://dalil.kg/document/70047" TargetMode="External"/><Relationship Id="rIdgofyuc8f7fsotg1-5kbyo"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4je7ncni9mlo_o8usmt" Type="http://schemas.openxmlformats.org/officeDocument/2006/relationships/hyperlink" Target="https://dalil.kg/document/70047" TargetMode="External"/><Relationship Id="rIdau1lecx1t4uuuxhodhd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2026-10-03T21:28:51.661Z</dcterms:created>
  <dcterms:modified xsi:type="dcterms:W3CDTF">2026-10-03T21:28:51.661Z</dcterms:modified>
</cp:coreProperties>
</file>

<file path=docProps/custom.xml><?xml version="1.0" encoding="utf-8"?>
<Properties xmlns="http://schemas.openxmlformats.org/officeDocument/2006/custom-properties" xmlns:vt="http://schemas.openxmlformats.org/officeDocument/2006/docPropsVTypes"/>
</file>