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rr6zkk01ykbnzj1ppp_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28 октября 2010 года №261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апреля 2000 года N 213            ПОСТАНОВЛЕНИЕ ПРАВИТЕЛЬСТВА КЫРГЫЗСКОЙ РЕСПУБЛИКИ                  О порядке определения ставок единого              сельскохозяйственного налога за пользование                    сельскохозяйственными угодьями     В  соответствии  со  статьей  176 Налогового  кодекса   КыргызскойРеспублики Правительство Кыргызской Республики постановляет:    1. 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 ставок  единогосельскохозяйственного   налога  за  пользование  сельскохозяйственнымиугодьями.    2. Государственному агентству по регистрации  прав  на  недвижимоеимущество   при   Правительстве  Кыргызской  Республики,    областным,районным  и  городским государственным администрациям при  определенииставок    единого   сельскохозяйственного   налога   руководствоватьсянастоящим Порядком.    З.   Признать   утратившими   силу   постановления   ПравительстваКыргызской Республики:    - от</w:t>
      </w:r>
    </w:p>
    <w:p>
      <w:r>
        <w:rPr>
          <w:rFonts w:ascii="Arial" w:cs="Arial" w:eastAsia="Arial" w:hAnsi="Arial"/>
          <w:sz w:val="24"/>
          <w:szCs w:val="24"/>
        </w:rPr>
        <w:t xml:space="preserve">16 мая 1995 года N 165</w:t>
      </w:r>
    </w:p>
    <w:p>
      <w:r>
        <w:rPr>
          <w:rFonts w:ascii="Arial" w:cs="Arial" w:eastAsia="Arial" w:hAnsi="Arial"/>
          <w:sz w:val="24"/>
          <w:szCs w:val="24"/>
        </w:rPr>
        <w:t xml:space="preserve">"Об  утверждении  Порядка  определенияставок    земельного   налога  за  использование  сельскохозяйственныхугодий сельскохозяйственными товаропроизводителями";    -  от</w:t>
      </w:r>
    </w:p>
    <w:p>
      <w:r>
        <w:rPr>
          <w:rFonts w:ascii="Arial" w:cs="Arial" w:eastAsia="Arial" w:hAnsi="Arial"/>
          <w:sz w:val="24"/>
          <w:szCs w:val="24"/>
        </w:rPr>
        <w:t xml:space="preserve">20  августа  1998  года  N 553</w:t>
      </w:r>
    </w:p>
    <w:p>
      <w:r>
        <w:rPr>
          <w:rFonts w:ascii="Arial" w:cs="Arial" w:eastAsia="Arial" w:hAnsi="Arial"/>
          <w:sz w:val="24"/>
          <w:szCs w:val="24"/>
        </w:rPr>
        <w:t xml:space="preserve">"Об  утверждении  Временногоположения    по   определению   дифференцированных   ставок    единогосельскохозяйственного   налога  за  пользование  сельскохозяйственнымиугодьями".    4. Контроль за исполнением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r6zkk01ykbnzj1ppp_h" Type="http://schemas.openxmlformats.org/officeDocument/2006/relationships/hyperlink" Target="http://kodeks.duckdns.org/document/922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2026-09-23T04:13:35.303Z</dcterms:created>
  <dcterms:modified xsi:type="dcterms:W3CDTF">2026-09-23T04:13:35.303Z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