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 в соответствии с Законом КР от </w:t>
      </w:r>
      <w:hyperlink w:history="1" r:id="rIdpig-2ofmmg5wrz9ufuk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1997 года N 20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14 апреля 1994 года N 1472-XII                       ЗАКОН КЫРГЫЗСКОЙ РЕСПУБЛИКИ          Об основах налоговой системы в Кыргызской Республике            (Введен в действие постановлением Жогорку Кенеша       Кыргызской Республики от 14 апреля 1994 года N 1473-XII)            ("Ведомости Жогорку Кенеша Кыргызской Республики"                         1994 год N 5, ст.151)               </w:t>
      </w:r>
      <w:hyperlink w:history="1" r:id="rIdz8qjtohigrnwjveplfm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</w:t>
      </w:r>
      <w:hyperlink w:history="1" r:id="rIdtrr3woybj0raqq9yq5y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4"/>
          <w:szCs w:val="24"/>
        </w:rPr>
        <w:t xml:space="preserve">  Виды налогов и компетенция органов государственной           власти</w:t>
      </w:r>
      <w:hyperlink w:history="1" r:id="rIdbdzwpr-svax30_oh30-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Заключительные положения                 Действие Закона отменено в соответствии с         Законом КР от </w:t>
      </w:r>
      <w:hyperlink w:history="1" r:id="rIdsojrzj6nnydqz9u2h0q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1996 года N 24</w:t>
        </w:r>
      </w:hyperlink>
      <w:r>
        <w:rPr>
          <w:rFonts w:ascii="Arial" w:cs="Arial" w:eastAsia="Arial" w:hAnsi="Arial"/>
          <w:sz w:val="24"/>
          <w:szCs w:val="24"/>
        </w:rPr>
        <w:t xml:space="preserve"> кроме статьи 14 Статья 14. Местные налоги и сборы     Под местными налогами и сборами понимаются обязательные платежи  вместные   бюджеты, производимые налогоплательщиками  в  порядке  и  наусловиях,  определяемых  органами местного самоуправления  -  местнымикенешами  на подведомственной им территории в соответствии с настоящимЗаконом.    К местным относятся следующие налоги и сборы:    1) курортный сбор;    2) сбор за право торговли;    3) налог на рекламу;    4) сбор с владельцев собак;    5) налог на скот, содержащийся у граждан;    6) лицензированный сбор за право проведения  местных  аукционов  илотерей;    7)  налог  с  граждан, выращивающих цветы в тепличных  условиях  иреализующих их населению;    8) сбор за парковку автотранспорта;    9) сбор за право использования местной символики;    10) сбор  со сделок, совершаемых на биржах, за исключением сделок,предусмотренных  законодательными актами о  налогообложении   операцийс ценными бумагами;    11) сбор за право проведения кино- и телесъемок;    12) сбор за уборку территорий населенных пунктов.    Размеры   ставок,   объекты  и  субъекты  налогообложения  местныхналогов,  а  также  порядок их зачисления в   бюджет   устанавливаютсяместными   органами   самоуправления   согласно   законов   КыргызскойРеспублики.    Местные   налоги,   кроме  перечисленных   в   настоящей   статье,устанавливаются Жогорку Кенешем Кыргызской Республики.     Президент Кыргызской Республики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sx-wpycmzv7nejlsz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dalil.kg/document/737</w:t>
      </w:r>
    </w:hyperlink>
  </w:p>
  <w:p>
    <w:pPr>
      <w:spacing w:after="0" w:before="40"/>
      <w:jc w:val="center"/>
    </w:pPr>
    <w:hyperlink w:history="1" r:id="rIdnwifpr-br0-cdzceuw8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g-2ofmmg5wrz9ufukkl" Type="http://schemas.openxmlformats.org/officeDocument/2006/relationships/hyperlink" Target="https://dalil.kg/document/520#0" TargetMode="External"/><Relationship Id="rIdz8qjtohigrnwjveplfmob" Type="http://schemas.openxmlformats.org/officeDocument/2006/relationships/hyperlink" Target="https://dalil.kg/document/737#1" TargetMode="External"/><Relationship Id="rIdtrr3woybj0raqq9yq5yxo" Type="http://schemas.openxmlformats.org/officeDocument/2006/relationships/hyperlink" Target="https://dalil.kg/document/737#2" TargetMode="External"/><Relationship Id="rIdbdzwpr-svax30_oh30-gh" Type="http://schemas.openxmlformats.org/officeDocument/2006/relationships/hyperlink" Target="https://dalil.kg/document/737#3" TargetMode="External"/><Relationship Id="rIdsojrzj6nnydqz9u2h0qhd" Type="http://schemas.openxmlformats.org/officeDocument/2006/relationships/hyperlink" Target="https://dalil.kg/document/6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sx-wpycmzv7nejlszib" Type="http://schemas.openxmlformats.org/officeDocument/2006/relationships/hyperlink" Target="https://dalil.kg/document/737" TargetMode="External"/><Relationship Id="rIdnwifpr-br0-cdzceuw8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2026-09-28T01:27:51.568Z</dcterms:created>
  <dcterms:modified xsi:type="dcterms:W3CDTF">2026-09-28T01:27:51.568Z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