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em2umn40uqhbpvrnpaqs">
        <w:r>
          <w:rPr>
            <w:rFonts w:ascii="Arial" w:cs="Arial" w:eastAsia="Arial" w:hAnsi="Arial"/>
            <w:color w:val="1D4ED8"/>
            <w:sz w:val="24"/>
            <w:szCs w:val="24"/>
            <w:u w:val="single"/>
          </w:rPr>
          <w:t xml:space="preserve">9 апреля 2001 года N 161</w:t>
        </w:r>
      </w:hyperlink>
      <w:r>
        <w:rPr>
          <w:rFonts w:ascii="Arial" w:cs="Arial" w:eastAsia="Arial" w:hAnsi="Arial"/>
          <w:sz w:val="24"/>
          <w:szCs w:val="24"/>
        </w:rPr>
        <w:t xml:space="preserve"> г.Бишкек, Дом Правительства от 19 июня 2000 года N 354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Правительство Кыргызской 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Фаттахова  Бахтияржана  Азизовича  -  председателяНациональной комиссии по защите и развитию конкуренции при  ПрезидентеКыргызской   Республики  официальным представителем Правительства  прирассмотрении   указанного  законопроекта  палатами   Жогорку    КенешаКыргызской Республики.     Премьер-министр Кыргызской Республики             А.Муралиев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1998г.,  N 2, ст.77) следующие изменения и дополнения:    1.  Главу  29  дополнить  статьями  400-1,   400-2,  400-3,  400-4следующего содержания:    "Статья 400-1. Несоблюдение должностным лицом контролирующего          органа установленных правил осуществления проверок     Несоблюдение должностным  лицом  контролирующего  органа  порядка,срока проведения проверок субъектов предпринимательства    влечет наложение административного штрафа на должностное лицо:    -  осуществляющее  проверку,   - от  трех  до  десяти  минимальныхразмеров заработной платы;    - на руководителя - от двадцати до пятидесяти минимальных размеровзаработной платы.    Повторное  нарушение  должностным  лицом  контролирующего   органаустановленных  правил  осуществления проверок влечет  освобождение  отзанимаемой должности.     Статья 400-2. Непредставление контролирующим органом                 в установленные сроки планов проверок                            на согласование     Непредставление  контролирующим  органом  в  установленные   срокипланов проверок на согласование    влечет наложение административного штрафа на должностное  лицо  отпятидесяти до ста минимальных размеров заработной платы.     Статья 400-3. Осуществление проверок субъектов предпринимательства                           без согласования     Осуществление государственным  контролирующим   органом   провероксубъектов  предпринимательства  без  соответствующего  согласования  вустановленном порядке    влечет наложение  административного  штрафа на должностное лицо отдвадцати до пятидесяти минимальных размеров заработной платы.    Повторное  нарушение   должностным  лицом  контролирующего  органапроверок без согласования влечет освобождение от занимаемой должности.     Статья 400-4. Нарушение порядка ведения Книги инспекторских                               проверок     Несоблюдение должностным  лицом  государственного  контролирующегооргана   установленного  порядка  по  заполнению  Книги  инспекторскихпроверок    влечет наложение административного штрафа на должностное  лицо  отдвадцати до тридцати минимальных размеров заработной платы".    2. В абзаце первом статьи 534 дополнить "400-1 - 400-4".    3. Пункт третий статьи 614 изложить в следующей редакции:    "3.    Суммы    штрафов    за   административные    правонарушенияперечисляются:    - 70% - в республиканский бюджет Кыргызской Республики;    - 30% - в местный бюджет".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1f8vbpodspwgqn5e_ua">
      <w:r>
        <w:rPr>
          <w:rFonts w:ascii="Arial" w:cs="Arial" w:eastAsia="Arial" w:hAnsi="Arial"/>
          <w:color w:val="132D3F"/>
          <w:sz w:val="16"/>
          <w:szCs w:val="16"/>
          <w:u w:val="single"/>
        </w:rPr>
        <w:t xml:space="preserve">dalil.kg/document/7410</w:t>
      </w:r>
    </w:hyperlink>
  </w:p>
  <w:p>
    <w:pPr>
      <w:spacing w:after="0" w:before="40"/>
      <w:jc w:val="center"/>
    </w:pPr>
    <w:hyperlink w:history="1" r:id="rIdyobp34iwszm0bmo9ui9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m2umn40uqhbpvrnpaqs"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1f8vbpodspwgqn5e_ua" Type="http://schemas.openxmlformats.org/officeDocument/2006/relationships/hyperlink" Target="https://dalil.kg/document/7410" TargetMode="External"/><Relationship Id="rIdyobp34iwszm0bmo9ui9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2026-09-30T18:52:49.179Z</dcterms:created>
  <dcterms:modified xsi:type="dcterms:W3CDTF">2026-09-30T18:52:49.179Z</dcterms:modified>
</cp:coreProperties>
</file>

<file path=docProps/custom.xml><?xml version="1.0" encoding="utf-8"?>
<Properties xmlns="http://schemas.openxmlformats.org/officeDocument/2006/custom-properties" xmlns:vt="http://schemas.openxmlformats.org/officeDocument/2006/docPropsVTypes"/>
</file>