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dg2cubegdj3wyx7sp5k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2000 года N 520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общеизвестных товарных знаках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e1jcgqfvomcxdhcymm7mh">
        <w:r>
          <w:rPr>
            <w:rFonts w:ascii="Arial" w:cs="Arial" w:eastAsia="Arial" w:hAnsi="Arial"/>
            <w:i/>
            <w:iCs/>
            <w:color w:val="1D4ED8"/>
            <w:sz w:val="24"/>
            <w:szCs w:val="24"/>
            <w:u w:val="single"/>
          </w:rPr>
          <w:t xml:space="preserve">15 мая 2001 года № 233</w:t>
        </w:r>
      </w:hyperlink>
      <w:r>
        <w:rPr>
          <w:rFonts w:ascii="Arial" w:cs="Arial" w:eastAsia="Arial" w:hAnsi="Arial"/>
          <w:i/>
          <w:iCs/>
          <w:sz w:val="24"/>
          <w:szCs w:val="24"/>
        </w:rPr>
        <w:t xml:space="preserve">, </w:t>
      </w:r>
      <w:hyperlink w:history="1" r:id="rId4auevasir0af2glply3it">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 Кабинета Министров КР от </w:t>
      </w:r>
      <w:hyperlink w:history="1" r:id="rId4yaan_nwrvkhjhh_wrw9-">
        <w:r>
          <w:rPr>
            <w:rFonts w:ascii="Arial" w:cs="Arial" w:eastAsia="Arial" w:hAnsi="Arial"/>
            <w:i/>
            <w:iCs/>
            <w:color w:val="1D4ED8"/>
            <w:sz w:val="24"/>
            <w:szCs w:val="24"/>
            <w:u w:val="single"/>
          </w:rPr>
          <w:t xml:space="preserve">19 октября 2023 года № 555)</w:t>
        </w:r>
      </w:hyperlink>
    </w:p>
    <w:p>
      <w:pPr>
        <w:spacing w:after="60"/>
        <w:ind w:firstLine="567"/>
        <w:jc w:val="both"/>
      </w:pPr>
      <w:r>
        <w:rPr>
          <w:rFonts w:ascii="Arial" w:cs="Arial" w:eastAsia="Arial" w:hAnsi="Arial"/>
          <w:sz w:val="24"/>
          <w:szCs w:val="24"/>
        </w:rPr>
        <w:t xml:space="preserve">Положение об общеизвестных товарных знаках в Кыргызской Республике (далее - Положение) регулирует отношения, связанные с признанием в Кыргызской Республике общеизвестных товарных знаков и направлено на реализацию обязательств, вытекающих из Парижской конвенции по охране промышленной собственности (далее - Парижская конвенция), Соглашения по торговым аспектам прав интеллектуальной собственности (ТРИПС), участником которых является Кыргызская Республика.</w:t>
      </w:r>
    </w:p>
    <w:p>
      <w:pPr>
        <w:spacing w:after="60"/>
        <w:ind w:firstLine="567"/>
        <w:jc w:val="both"/>
      </w:pPr>
      <w:r>
        <w:rPr>
          <w:rFonts w:ascii="Arial" w:cs="Arial" w:eastAsia="Arial" w:hAnsi="Arial"/>
          <w:sz w:val="24"/>
          <w:szCs w:val="24"/>
        </w:rPr>
        <w:t xml:space="preserve">Настоящее Положение разработано в соответствии с </w:t>
      </w:r>
      <w:hyperlink w:history="1" r:id="rIdqqlllwnktw_mdizidvoa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товарных знаках, знаках обслуживания, географических указаниях и наименованиях мест происхождения товаров" и регулирует отношения, связанные с признанием в Кыргызской Республике общеизвестных товарных знаков.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nphxjlekhc_klrpmc3sq">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Уполномоченный государственный орган в области интеллектуальной собственности (далее - Кыргызпатент) осуществляет единую государственную политику в области охраны общеизвестных товарных знаков в Кыргызской Республике, принимает к рассмотрению заявления о признании товарных знаков общеизвестными, принимает решения о признании товарных знаков общеизвестными, осуществляет государственную регистрацию общеизвестных товарных знаков, ведет Государственный реестр общеизвестных товарных знаков (далее - Реестр), выдает свидетельства, публикует официальные сведения о товарных знаках, признанных общеизвестными на территории Кыргызской Республики, а также рассматривает споры в отношении общеизвестных товарных знаков.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hbntjbntwoefb8yxhk6">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Органом, от имени Кыргызпатента осуществляющим рассмотрение заявлений о признании товарных знаков общеизвестными, вынесение решений о признании товарных знаков общеизвестными и рассмотрение споров в отношении общеизвестных товарных знаков, является Апелляционный совет Кыргызпатента (далее - Апелляционный совет), который при признании товарных знаков общеизвестными и рассмотрении споров в отношении них руководствуется настоящим Положением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Правовая охрана общеизвестных товарных знаков предоставляется тем обозначениям, товарным знакам, которые приобрели широкую различительную способность в результате их длительного и интенсивного использования и стали характерными для товаров определенного изготовителя.</w:t>
      </w:r>
    </w:p>
    <w:p>
      <w:pPr>
        <w:spacing w:after="60"/>
        <w:ind w:firstLine="567"/>
        <w:jc w:val="both"/>
      </w:pPr>
      <w:r>
        <w:rPr>
          <w:rFonts w:ascii="Arial" w:cs="Arial" w:eastAsia="Arial" w:hAnsi="Arial"/>
          <w:sz w:val="24"/>
          <w:szCs w:val="24"/>
        </w:rPr>
        <w:t xml:space="preserve">Общеизвестный товарный знак охраняется в отношении всех товаров, в связи с которыми знак получил свою известность. 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60"/>
        <w:ind w:firstLine="567"/>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kocbcocimb8y_dnkzf3e">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Товарный знак признается общеизвестным на территории Кыргызской Республики при условии его соответствия критериям общеизвестности и занесения его в Реестр и официальном опубликовании сведений о нем Кыргызпатентом.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uuehtclpdv7jsuqtcwmy">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Общеизвестные товарные знаки, в силу факта длительного и интенсивного использования и получения тем самым широкой известности, пользуются на территории Кыргызской Республики преимущественной охраной перед другими тождественными или сходными товарными знаками, которые являются предметом охраны в Кыргызской Республике.</w:t>
      </w:r>
    </w:p>
    <w:p>
      <w:pPr>
        <w:spacing w:after="60"/>
        <w:ind w:firstLine="567"/>
        <w:jc w:val="both"/>
      </w:pPr>
      <w:r>
        <w:rPr>
          <w:rFonts w:ascii="Arial" w:cs="Arial" w:eastAsia="Arial" w:hAnsi="Arial"/>
          <w:sz w:val="24"/>
          <w:szCs w:val="24"/>
        </w:rPr>
        <w:t xml:space="preserve">6. Нормы настоящего Положения применяются также к знакам обслуживания.</w:t>
      </w:r>
    </w:p>
    <w:p>
      <w:pPr>
        <w:spacing w:after="200" w:before="200"/>
        <w:jc w:val="center"/>
      </w:pPr>
      <w:r>
        <w:rPr>
          <w:rFonts w:ascii="Arial" w:cs="Arial" w:eastAsia="Arial" w:hAnsi="Arial"/>
          <w:b/>
          <w:bCs/>
          <w:sz w:val="24"/>
          <w:szCs w:val="24"/>
        </w:rPr>
        <w:t xml:space="preserve">II. Критерии признания товарных знаков общеизвестными</w:t>
      </w:r>
    </w:p>
    <w:p>
      <w:pPr>
        <w:spacing w:after="60"/>
        <w:ind w:firstLine="567"/>
        <w:jc w:val="both"/>
      </w:pPr>
      <w:r>
        <w:rPr>
          <w:rFonts w:ascii="Arial" w:cs="Arial" w:eastAsia="Arial" w:hAnsi="Arial"/>
          <w:sz w:val="24"/>
          <w:szCs w:val="24"/>
        </w:rPr>
        <w:t xml:space="preserve">7. Товарный знак признается общеизвестным на территории Кыргызской Республики при соответствии следующим критериям:</w:t>
      </w:r>
    </w:p>
    <w:p>
      <w:pPr>
        <w:spacing w:after="60"/>
        <w:ind w:firstLine="567"/>
        <w:jc w:val="both"/>
      </w:pPr>
      <w:r>
        <w:rPr>
          <w:rFonts w:ascii="Arial" w:cs="Arial" w:eastAsia="Arial" w:hAnsi="Arial"/>
          <w:sz w:val="24"/>
          <w:szCs w:val="24"/>
        </w:rPr>
        <w:t xml:space="preserve">- узнаваемость фактическими и/или потенциальными потребителями Кыргызской Республики того вида товаров, к которым применяется знак, либо лицами, участвующими в обеспечении каналов распространения того вида товаров, к которым применяется товарный знак, либо деловыми кругами, имеющими отношение к тем видам товаров, к которым применяется товарный знак, и при этом представление об уровне качества товара должно быть связано с товарным знаком в стране или на мировом рынке;</w:t>
      </w:r>
    </w:p>
    <w:p>
      <w:pPr>
        <w:spacing w:after="60"/>
        <w:ind w:firstLine="567"/>
        <w:jc w:val="both"/>
      </w:pPr>
      <w:r>
        <w:rPr>
          <w:rFonts w:ascii="Arial" w:cs="Arial" w:eastAsia="Arial" w:hAnsi="Arial"/>
          <w:sz w:val="24"/>
          <w:szCs w:val="24"/>
        </w:rPr>
        <w:t xml:space="preserve">- высокая различительная способность, присущая изначально, либо приобретенная в результате интенсивного использования;</w:t>
      </w:r>
    </w:p>
    <w:p>
      <w:pPr>
        <w:spacing w:after="60"/>
        <w:ind w:firstLine="567"/>
        <w:jc w:val="both"/>
      </w:pPr>
      <w:r>
        <w:rPr>
          <w:rFonts w:ascii="Arial" w:cs="Arial" w:eastAsia="Arial" w:hAnsi="Arial"/>
          <w:sz w:val="24"/>
          <w:szCs w:val="24"/>
        </w:rPr>
        <w:t xml:space="preserve">- широкое использование и реклама товарного знака на территории республики или на мировом рынке, в том числе в сети Интернет и в доменном имени;</w:t>
      </w:r>
    </w:p>
    <w:p>
      <w:pPr>
        <w:spacing w:after="60"/>
        <w:ind w:firstLine="567"/>
        <w:jc w:val="both"/>
      </w:pPr>
      <w:r>
        <w:rPr>
          <w:rFonts w:ascii="Arial" w:cs="Arial" w:eastAsia="Arial" w:hAnsi="Arial"/>
          <w:sz w:val="24"/>
          <w:szCs w:val="24"/>
        </w:rPr>
        <w:t xml:space="preserve">- коммерческая ценность в результате длительного и интенсивного использования в республике или на мировом рынке.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erhiefo_s2vjiqixqg9o">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Апелляционным советом при вынесении решения наряду с вышеуказанными критериями могут быть учтены дополнительные критерии, не отраженные в настоящем Положении.</w:t>
      </w:r>
    </w:p>
    <w:p>
      <w:pPr>
        <w:spacing w:after="60"/>
        <w:ind w:firstLine="567"/>
        <w:jc w:val="both"/>
      </w:pPr>
      <w:r>
        <w:rPr>
          <w:rFonts w:ascii="Arial" w:cs="Arial" w:eastAsia="Arial" w:hAnsi="Arial"/>
          <w:sz w:val="24"/>
          <w:szCs w:val="24"/>
        </w:rPr>
        <w:t xml:space="preserve">8-1. 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5bvek-baywc11ysvoir-">
        <w:r>
          <w:rPr>
            <w:rFonts w:ascii="Arial" w:cs="Arial" w:eastAsia="Arial" w:hAnsi="Arial"/>
            <w:i/>
            <w:iCs/>
            <w:color w:val="1D4ED8"/>
            <w:sz w:val="24"/>
            <w:szCs w:val="24"/>
            <w:u w:val="single"/>
          </w:rPr>
          <w:t xml:space="preserve">20 мая 2014 года № 263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Процедура признания товарного знака общеизвестным</w:t>
      </w:r>
    </w:p>
    <w:p>
      <w:pPr>
        <w:spacing w:after="60"/>
        <w:ind w:firstLine="567"/>
        <w:jc w:val="both"/>
      </w:pPr>
      <w:r>
        <w:rPr>
          <w:rFonts w:ascii="Arial" w:cs="Arial" w:eastAsia="Arial" w:hAnsi="Arial"/>
          <w:sz w:val="24"/>
          <w:szCs w:val="24"/>
        </w:rPr>
        <w:t xml:space="preserve">9. Основанием для признания товарного знака общеизвестным является заявление заинтересованного лица, указанного в части 1 </w:t>
      </w:r>
      <w:hyperlink w:history="1" r:id="rIdwsq2lx3dwnwrdm6p7uwnx">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 в части 1 </w:t>
      </w:r>
      <w:hyperlink w:history="1" r:id="rIdxolhpg-yp6xl7ghfgaz9o">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(далее - Закон) поданное в Апелляционный совет. При подаче заявления должна быть уплачена пошлина в установленном размере.</w:t>
      </w:r>
    </w:p>
    <w:p>
      <w:pPr>
        <w:spacing w:after="60"/>
        <w:ind w:firstLine="567"/>
        <w:jc w:val="both"/>
      </w:pPr>
      <w:r>
        <w:rPr>
          <w:rFonts w:ascii="Arial" w:cs="Arial" w:eastAsia="Arial" w:hAnsi="Arial"/>
          <w:sz w:val="24"/>
          <w:szCs w:val="24"/>
        </w:rPr>
        <w:t xml:space="preserve">В случае возникновения конфликта товарного знака, претендующего на общеизвестность, с зарегистрированным товарным знаком заявление должно быть подано в Апелляционный совет не позднее пяти лет с даты официального опубликования сведений о регистрации товарного знака, чья регистрация ставится под сомнение.</w:t>
      </w:r>
    </w:p>
    <w:p>
      <w:pPr>
        <w:spacing w:after="60"/>
        <w:ind w:firstLine="567"/>
        <w:jc w:val="both"/>
      </w:pPr>
      <w:r>
        <w:rPr>
          <w:rFonts w:ascii="Arial" w:cs="Arial" w:eastAsia="Arial" w:hAnsi="Arial"/>
          <w:sz w:val="24"/>
          <w:szCs w:val="24"/>
        </w:rPr>
        <w:t xml:space="preserve">Настоящая норма не распространяется на товарные знаки, зарегистрированные или используемые недобросовестно.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z9agsx2cxdtixmceyj15">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Для признания товарного знака общеизвестным к заявлению должны быть приложены документы, подтверждающие:</w:t>
      </w:r>
    </w:p>
    <w:p>
      <w:pPr>
        <w:spacing w:after="60"/>
        <w:ind w:firstLine="567"/>
        <w:jc w:val="both"/>
      </w:pPr>
      <w:r>
        <w:rPr>
          <w:rFonts w:ascii="Arial" w:cs="Arial" w:eastAsia="Arial" w:hAnsi="Arial"/>
          <w:sz w:val="24"/>
          <w:szCs w:val="24"/>
        </w:rPr>
        <w:t xml:space="preserve">- интенсивное использование, при этом в документах должны быть указаны дата начала использования; перечень населенных пунктов, в которых осуществлялась реализация товаров, обозначенных товарным знаком; перечень товаров, в отношении которых осуществлялось использование; способы использования; реальное или номинальное; среднегодовое количество потребителей товара; положение изготовителя в определенном секторе экономики, объем реализации этих товаров или предоставления услуг и т.д.;</w:t>
      </w:r>
    </w:p>
    <w:p>
      <w:pPr>
        <w:spacing w:after="60"/>
        <w:ind w:firstLine="567"/>
        <w:jc w:val="both"/>
      </w:pPr>
      <w:r>
        <w:rPr>
          <w:rFonts w:ascii="Arial" w:cs="Arial" w:eastAsia="Arial" w:hAnsi="Arial"/>
          <w:sz w:val="24"/>
          <w:szCs w:val="24"/>
        </w:rPr>
        <w:t xml:space="preserve">- степень известности товарного знака на территории Кыргызской Республики в соответствующем секторе общества, а также за ее пределами;</w:t>
      </w:r>
    </w:p>
    <w:p>
      <w:pPr>
        <w:spacing w:after="60"/>
        <w:ind w:firstLine="567"/>
        <w:jc w:val="both"/>
      </w:pPr>
      <w:r>
        <w:rPr>
          <w:rFonts w:ascii="Arial" w:cs="Arial" w:eastAsia="Arial" w:hAnsi="Arial"/>
          <w:sz w:val="24"/>
          <w:szCs w:val="24"/>
        </w:rPr>
        <w:t xml:space="preserve">- продолжительность и географические масштабы любого использования товарного знака в мире;</w:t>
      </w:r>
    </w:p>
    <w:p>
      <w:pPr>
        <w:spacing w:after="60"/>
        <w:ind w:firstLine="567"/>
        <w:jc w:val="both"/>
      </w:pPr>
      <w:r>
        <w:rPr>
          <w:rFonts w:ascii="Arial" w:cs="Arial" w:eastAsia="Arial" w:hAnsi="Arial"/>
          <w:sz w:val="24"/>
          <w:szCs w:val="24"/>
        </w:rPr>
        <w:t xml:space="preserve">- любые виды деятельности по продвижению товарного знака, включая рекламу или пропаганду, а также презентацию на ярмарках или выставках товаров, к которым применяется этот знак;</w:t>
      </w:r>
    </w:p>
    <w:p>
      <w:pPr>
        <w:spacing w:after="60"/>
        <w:ind w:firstLine="567"/>
        <w:jc w:val="both"/>
      </w:pPr>
      <w:r>
        <w:rPr>
          <w:rFonts w:ascii="Arial" w:cs="Arial" w:eastAsia="Arial" w:hAnsi="Arial"/>
          <w:sz w:val="24"/>
          <w:szCs w:val="24"/>
        </w:rPr>
        <w:t xml:space="preserve">- затраты на рекламу товарного знака в Кыргызской Республике (годовые финансовые отчеты за пять лет);</w:t>
      </w:r>
    </w:p>
    <w:p>
      <w:pPr>
        <w:spacing w:after="60"/>
        <w:ind w:firstLine="567"/>
        <w:jc w:val="both"/>
      </w:pPr>
      <w:r>
        <w:rPr>
          <w:rFonts w:ascii="Arial" w:cs="Arial" w:eastAsia="Arial" w:hAnsi="Arial"/>
          <w:sz w:val="24"/>
          <w:szCs w:val="24"/>
        </w:rPr>
        <w:t xml:space="preserve">- любые имеющиеся регистрации или заявки на регистрацию, отражающие использование или признание товарного знака;</w:t>
      </w:r>
    </w:p>
    <w:p>
      <w:pPr>
        <w:spacing w:after="60"/>
        <w:ind w:firstLine="567"/>
        <w:jc w:val="both"/>
      </w:pPr>
      <w:r>
        <w:rPr>
          <w:rFonts w:ascii="Arial" w:cs="Arial" w:eastAsia="Arial" w:hAnsi="Arial"/>
          <w:sz w:val="24"/>
          <w:szCs w:val="24"/>
        </w:rPr>
        <w:t xml:space="preserve">- успешную реализацию прав в отношении товарного знака в других странах-участниках Парижского союза;</w:t>
      </w:r>
    </w:p>
    <w:p>
      <w:pPr>
        <w:spacing w:after="60"/>
        <w:ind w:firstLine="567"/>
        <w:jc w:val="both"/>
      </w:pPr>
      <w:r>
        <w:rPr>
          <w:rFonts w:ascii="Arial" w:cs="Arial" w:eastAsia="Arial" w:hAnsi="Arial"/>
          <w:sz w:val="24"/>
          <w:szCs w:val="24"/>
        </w:rPr>
        <w:t xml:space="preserve">- стоимость (ценность) товарного знака в соответствии с данными, содержащимися в годовых финансовых отчетах;</w:t>
      </w:r>
    </w:p>
    <w:p>
      <w:pPr>
        <w:spacing w:after="60"/>
        <w:ind w:firstLine="567"/>
        <w:jc w:val="both"/>
      </w:pPr>
      <w:r>
        <w:rPr>
          <w:rFonts w:ascii="Arial" w:cs="Arial" w:eastAsia="Arial" w:hAnsi="Arial"/>
          <w:sz w:val="24"/>
          <w:szCs w:val="24"/>
        </w:rPr>
        <w:t xml:space="preserve">- результаты опроса соответствующих кругов потребителей, которые реально могут являться потребителями товаров, имеющих этот товарный знак;</w:t>
      </w:r>
    </w:p>
    <w:p>
      <w:pPr>
        <w:spacing w:after="60"/>
        <w:ind w:firstLine="567"/>
        <w:jc w:val="both"/>
      </w:pPr>
      <w:r>
        <w:rPr>
          <w:rFonts w:ascii="Arial" w:cs="Arial" w:eastAsia="Arial" w:hAnsi="Arial"/>
          <w:sz w:val="24"/>
          <w:szCs w:val="24"/>
        </w:rPr>
        <w:t xml:space="preserve">- другие сведения, которые могут иметь значение при признании товарного знака общеизвестным.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dap1dnkylgu0n1pgs6bn">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Опрос потребителей должен осуществляться независимыми правомочными организациями по заказу заинтересованной стороны. Результаты опроса потребителей оформляются в виде специального заключения, которое должно содержать следующие сведения:</w:t>
      </w:r>
    </w:p>
    <w:p>
      <w:pPr>
        <w:spacing w:after="60"/>
        <w:ind w:firstLine="567"/>
        <w:jc w:val="both"/>
      </w:pPr>
      <w:r>
        <w:rPr>
          <w:rFonts w:ascii="Arial" w:cs="Arial" w:eastAsia="Arial" w:hAnsi="Arial"/>
          <w:sz w:val="24"/>
          <w:szCs w:val="24"/>
        </w:rPr>
        <w:t xml:space="preserve">- изображение товарного знака, в отношении которого проводился опрос;</w:t>
      </w:r>
    </w:p>
    <w:p>
      <w:pPr>
        <w:spacing w:after="60"/>
        <w:ind w:firstLine="567"/>
        <w:jc w:val="both"/>
      </w:pPr>
      <w:r>
        <w:rPr>
          <w:rFonts w:ascii="Arial" w:cs="Arial" w:eastAsia="Arial" w:hAnsi="Arial"/>
          <w:sz w:val="24"/>
          <w:szCs w:val="24"/>
        </w:rPr>
        <w:t xml:space="preserve">- время и место проведения опроса;</w:t>
      </w:r>
    </w:p>
    <w:p>
      <w:pPr>
        <w:spacing w:after="60"/>
        <w:ind w:firstLine="567"/>
        <w:jc w:val="both"/>
      </w:pPr>
      <w:r>
        <w:rPr>
          <w:rFonts w:ascii="Arial" w:cs="Arial" w:eastAsia="Arial" w:hAnsi="Arial"/>
          <w:sz w:val="24"/>
          <w:szCs w:val="24"/>
        </w:rPr>
        <w:t xml:space="preserve">- количество и состав опрошенных, при этом во внимание должны браться:</w:t>
      </w:r>
    </w:p>
    <w:p>
      <w:pPr>
        <w:spacing w:after="60"/>
        <w:ind w:firstLine="567"/>
        <w:jc w:val="both"/>
      </w:pPr>
      <w:r>
        <w:rPr>
          <w:rFonts w:ascii="Arial" w:cs="Arial" w:eastAsia="Arial" w:hAnsi="Arial"/>
          <w:sz w:val="24"/>
          <w:szCs w:val="24"/>
        </w:rPr>
        <w:t xml:space="preserve">а) фактические и/или потенциальные потребители того вида товаров, к которым применяется товарный знак;</w:t>
      </w:r>
    </w:p>
    <w:p>
      <w:pPr>
        <w:spacing w:after="60"/>
        <w:ind w:firstLine="567"/>
        <w:jc w:val="both"/>
      </w:pPr>
      <w:r>
        <w:rPr>
          <w:rFonts w:ascii="Arial" w:cs="Arial" w:eastAsia="Arial" w:hAnsi="Arial"/>
          <w:sz w:val="24"/>
          <w:szCs w:val="24"/>
        </w:rPr>
        <w:t xml:space="preserve">б) лица, участвующие в обеспечении каналов распространения того вида товаров, к которым применяется товарный знак;</w:t>
      </w:r>
    </w:p>
    <w:p>
      <w:pPr>
        <w:spacing w:after="60"/>
        <w:ind w:firstLine="567"/>
        <w:jc w:val="both"/>
      </w:pPr>
      <w:r>
        <w:rPr>
          <w:rFonts w:ascii="Arial" w:cs="Arial" w:eastAsia="Arial" w:hAnsi="Arial"/>
          <w:sz w:val="24"/>
          <w:szCs w:val="24"/>
        </w:rPr>
        <w:t xml:space="preserve">в) деловые круги, имеющие отношение к тем видам товаров, к которым применяется товарный знак;</w:t>
      </w:r>
    </w:p>
    <w:p>
      <w:pPr>
        <w:spacing w:after="60"/>
        <w:ind w:firstLine="567"/>
        <w:jc w:val="both"/>
      </w:pPr>
      <w:r>
        <w:rPr>
          <w:rFonts w:ascii="Arial" w:cs="Arial" w:eastAsia="Arial" w:hAnsi="Arial"/>
          <w:sz w:val="24"/>
          <w:szCs w:val="24"/>
        </w:rPr>
        <w:t xml:space="preserve">- сведения об опрошенных (пол, возраст, род занятий и др.);</w:t>
      </w:r>
    </w:p>
    <w:p>
      <w:pPr>
        <w:spacing w:after="60"/>
        <w:ind w:firstLine="567"/>
        <w:jc w:val="both"/>
      </w:pPr>
      <w:r>
        <w:rPr>
          <w:rFonts w:ascii="Arial" w:cs="Arial" w:eastAsia="Arial" w:hAnsi="Arial"/>
          <w:sz w:val="24"/>
          <w:szCs w:val="24"/>
        </w:rPr>
        <w:t xml:space="preserve">- результаты анализа ответов опрошенных (качество товаров, обозначенных знаком, источник информации о знаке и его владельце; товары, с которыми ассоциируется товарный знак, как оценивают они товарный знак (хорошо известный, известный, малоизвестный, неизвестный); кто является правообладателем данного товарного знака и производителем товара, маркированного таким товарным знаком, и т.д.);</w:t>
      </w:r>
    </w:p>
    <w:p>
      <w:pPr>
        <w:spacing w:after="60"/>
        <w:ind w:firstLine="567"/>
        <w:jc w:val="both"/>
      </w:pPr>
      <w:r>
        <w:rPr>
          <w:rFonts w:ascii="Arial" w:cs="Arial" w:eastAsia="Arial" w:hAnsi="Arial"/>
          <w:sz w:val="24"/>
          <w:szCs w:val="24"/>
        </w:rPr>
        <w:t xml:space="preserve">- максимальное количество опрошенных не ограничивается, а минимальное, как правило, не должно быть менее 500 в городах республиканского значения Бишкек и Ош и не менее 125 в каждом другом населенном пункте. Опрос должен охватывать не менее 6 городов областного значения.</w:t>
      </w:r>
    </w:p>
    <w:p>
      <w:pPr>
        <w:spacing w:after="60"/>
        <w:ind w:firstLine="567"/>
        <w:jc w:val="both"/>
      </w:pPr>
      <w:r>
        <w:rPr>
          <w:rFonts w:ascii="Arial" w:cs="Arial" w:eastAsia="Arial" w:hAnsi="Arial"/>
          <w:sz w:val="24"/>
          <w:szCs w:val="24"/>
        </w:rPr>
        <w:t xml:space="preserve">Заключение должно быть подписано руководителем организации, проводившей социологический опрос, подпись должна быть скреплена печатью.</w:t>
      </w:r>
    </w:p>
    <w:p>
      <w:pPr>
        <w:spacing w:after="60"/>
        <w:ind w:firstLine="567"/>
        <w:jc w:val="both"/>
      </w:pPr>
      <w:r>
        <w:rPr>
          <w:rFonts w:ascii="Arial" w:cs="Arial" w:eastAsia="Arial" w:hAnsi="Arial"/>
          <w:sz w:val="24"/>
          <w:szCs w:val="24"/>
        </w:rPr>
        <w:t xml:space="preserve">Ответственность за достоверность изложенных в заключении сведений несет организация, проводившая социологический опрос.</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nwprac6voblqohwf1q3j">
        <w:r>
          <w:rPr>
            <w:rFonts w:ascii="Arial" w:cs="Arial" w:eastAsia="Arial" w:hAnsi="Arial"/>
            <w:i/>
            <w:iCs/>
            <w:color w:val="1D4ED8"/>
            <w:sz w:val="24"/>
            <w:szCs w:val="24"/>
            <w:u w:val="single"/>
          </w:rPr>
          <w:t xml:space="preserve">19 октября 2023 года № 555)</w:t>
        </w:r>
      </w:hyperlink>
    </w:p>
    <w:p>
      <w:pPr>
        <w:spacing w:after="60"/>
        <w:ind w:firstLine="567"/>
        <w:jc w:val="both"/>
      </w:pPr>
      <w:r>
        <w:rPr>
          <w:rFonts w:ascii="Arial" w:cs="Arial" w:eastAsia="Arial" w:hAnsi="Arial"/>
          <w:sz w:val="24"/>
          <w:szCs w:val="24"/>
        </w:rPr>
        <w:t xml:space="preserve">12. Доказательством высокого качества товаров, длительности, непрерывности, интенсивности и объема использования товарного знака могут служить заключения (справки) компетентных организаций соответствующей отрасли промышленности, органов контроля качества товаров и продукции, торговых организаций, ассоциаций и обществ потребителей, сертификаты и аттестаты качества.</w:t>
      </w:r>
    </w:p>
    <w:p>
      <w:pPr>
        <w:spacing w:after="60"/>
        <w:ind w:firstLine="567"/>
        <w:jc w:val="both"/>
      </w:pPr>
      <w:r>
        <w:rPr>
          <w:rFonts w:ascii="Arial" w:cs="Arial" w:eastAsia="Arial" w:hAnsi="Arial"/>
          <w:sz w:val="24"/>
          <w:szCs w:val="24"/>
        </w:rPr>
        <w:t xml:space="preserve">13. Заявление о признании товарного знака общеизвестным должно быть рассмотрено Апелляционным советом в течение трех месяцев с даты его поступления.</w:t>
      </w:r>
    </w:p>
    <w:p>
      <w:pPr>
        <w:spacing w:after="60"/>
        <w:ind w:firstLine="567"/>
        <w:jc w:val="both"/>
      </w:pPr>
      <w:r>
        <w:rPr>
          <w:rFonts w:ascii="Arial" w:cs="Arial" w:eastAsia="Arial" w:hAnsi="Arial"/>
          <w:sz w:val="24"/>
          <w:szCs w:val="24"/>
        </w:rPr>
        <w:t xml:space="preserve">Апелляционный совет, рассмотрев представленные материалы, в случае соответствия товарного знака заявляемым требованиям, выносит решение о признании товарного знака общеизвестным на территории Кыргызской Республики и регистрации его в Реестре.</w:t>
      </w:r>
    </w:p>
    <w:p>
      <w:pPr>
        <w:spacing w:after="60"/>
        <w:ind w:firstLine="567"/>
        <w:jc w:val="both"/>
      </w:pPr>
      <w:r>
        <w:rPr>
          <w:rFonts w:ascii="Arial" w:cs="Arial" w:eastAsia="Arial" w:hAnsi="Arial"/>
          <w:sz w:val="24"/>
          <w:szCs w:val="24"/>
        </w:rPr>
        <w:t xml:space="preserve">В случае недостаточности представленных доказательств для признания товарного знака общеизвестным, Апелляционный совет выносит решение об отказе в удовлетворении поданного заявления и признании товарного знака общеизвестным.</w:t>
      </w:r>
    </w:p>
    <w:p>
      <w:pPr>
        <w:spacing w:after="60"/>
        <w:ind w:firstLine="567"/>
        <w:jc w:val="both"/>
      </w:pPr>
      <w:r>
        <w:rPr>
          <w:rFonts w:ascii="Arial" w:cs="Arial" w:eastAsia="Arial" w:hAnsi="Arial"/>
          <w:sz w:val="24"/>
          <w:szCs w:val="24"/>
        </w:rPr>
        <w:t xml:space="preserve">Решение Апелляционного совета может быть обжаловано в суд в течение трех месяцев с даты его получения.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uoulu-oqk6jthy8i783b">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 случае подачи в Апелляционный совет возражения в соответствии с абзацем вторым пункта 9 настоящего Положения Апелляционный совет при наличии признаков, указанных в пункте 18 настоящего Положения, выносит решение об удовлетворении возражения о признании товарного знака общеизвестным на территории Кыргызской Республики, регистрации его в Реестре и аннулировании регистрации конфликтующего товарного знака.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7uhxpvglwmos-i9odza2">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 вынесении решения Апелляционным советом о признании товарного знака общеизвестным и регистрации его в Реестре, Кыргызпатент выдает свидетельство и публикует сведения в официальном бюллетене в течение месяца.</w:t>
      </w:r>
    </w:p>
    <w:p>
      <w:pPr>
        <w:spacing w:after="60"/>
        <w:ind w:firstLine="567"/>
        <w:jc w:val="both"/>
      </w:pPr>
      <w:r>
        <w:rPr>
          <w:rFonts w:ascii="Arial" w:cs="Arial" w:eastAsia="Arial" w:hAnsi="Arial"/>
          <w:sz w:val="24"/>
          <w:szCs w:val="24"/>
        </w:rPr>
        <w:t xml:space="preserve">Форма свидетельства и состав указываемых в нем сведений устанавливаются Кыргызпатентом.</w:t>
      </w:r>
    </w:p>
    <w:p>
      <w:pPr>
        <w:spacing w:after="60"/>
        <w:ind w:firstLine="567"/>
        <w:jc w:val="both"/>
      </w:pPr>
      <w:r>
        <w:rPr>
          <w:rFonts w:ascii="Arial" w:cs="Arial" w:eastAsia="Arial" w:hAnsi="Arial"/>
          <w:sz w:val="24"/>
          <w:szCs w:val="24"/>
        </w:rPr>
        <w:t xml:space="preserve">15-1. Товарный знак может быть признан общеизвестным товарным знаком в связи с вступлением в законную силу решения суда об отмене решения Апелляционного совета, которым отказано в признании товарного знака общеизвестным. Кыргызпатент регистрирует его в Реестре, выдает свидетельство и публикует сведения в официальном бюллетене в течение одного месяца.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8mlz-gij48dcmfphv9of">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заявлению заинтересованного лица или по инициативе самого владельца общеизвестного товарного знака, при наличии достаточных доказательств, Апелляционный совет вправе принять решение об утрате общеизвестным товарным знаком статуса общеизвестного. При этом по решению Апелляционного совета в Реестре делается соответствующая запись. При подаче заявления должна быть уплачена пошлина в установленном размере.</w:t>
      </w:r>
    </w:p>
    <w:p>
      <w:pPr>
        <w:spacing w:after="200" w:before="200"/>
        <w:jc w:val="center"/>
      </w:pPr>
      <w:r>
        <w:rPr>
          <w:rFonts w:ascii="Arial" w:cs="Arial" w:eastAsia="Arial" w:hAnsi="Arial"/>
          <w:b/>
          <w:bCs/>
          <w:sz w:val="24"/>
          <w:szCs w:val="24"/>
        </w:rPr>
        <w:t xml:space="preserve">IV. Столкновение с общеизвестными товарными знаками</w:t>
      </w:r>
    </w:p>
    <w:p>
      <w:pPr>
        <w:spacing w:after="60"/>
        <w:ind w:firstLine="567"/>
        <w:jc w:val="both"/>
      </w:pPr>
      <w:r>
        <w:rPr>
          <w:rFonts w:ascii="Arial" w:cs="Arial" w:eastAsia="Arial" w:hAnsi="Arial"/>
          <w:sz w:val="24"/>
          <w:szCs w:val="24"/>
        </w:rPr>
        <w:t xml:space="preserve">17. Товарные знаки, признанные общеизвестными в соответствии с настоящим Положением, сталкивающиеся с конфликтующими товарными знаками, фирменными наименованиями или названиями доменов, имеют преимущественную правовую охрану с момента получения товарным знаком статуса общеизвестного.</w:t>
      </w:r>
    </w:p>
    <w:p>
      <w:pPr>
        <w:spacing w:after="60"/>
        <w:ind w:firstLine="567"/>
        <w:jc w:val="both"/>
      </w:pPr>
      <w:r>
        <w:rPr>
          <w:rFonts w:ascii="Arial" w:cs="Arial" w:eastAsia="Arial" w:hAnsi="Arial"/>
          <w:sz w:val="24"/>
          <w:szCs w:val="24"/>
        </w:rPr>
        <w:t xml:space="preserve">18. Товарный знак считается конфликтующим, если он или его существенная часть, представляет собой воспроизведение, имитацию, перевод или транслитерацию общеизвестного товарного знака, и может вызвать смешение, если этот знак или его существенная часть используется, является предметом заявки на регистрацию, или зарегистрирован в отношении товаров, которые являются тождественными или сходными с товарами, к которым применяется общеизвестный товарный знак.</w:t>
      </w:r>
    </w:p>
    <w:p>
      <w:pPr>
        <w:spacing w:after="60"/>
        <w:ind w:firstLine="567"/>
        <w:jc w:val="both"/>
      </w:pPr>
      <w:r>
        <w:rPr>
          <w:rFonts w:ascii="Arial" w:cs="Arial" w:eastAsia="Arial" w:hAnsi="Arial"/>
          <w:sz w:val="24"/>
          <w:szCs w:val="24"/>
        </w:rPr>
        <w:t xml:space="preserve">Независимо от товаров, в отношении которых товарный знак используется, является ли он предметом заявки на регистрацию или зарегистрирован, этот знак считается находящимся в противоречии с общеизвестным товарным знаком, если он весь или его существенная часть представляет собой воспроизведение, имитацию, перевод или транслитерацию общеизвестного знака и если:</w:t>
      </w:r>
    </w:p>
    <w:p>
      <w:pPr>
        <w:spacing w:after="60"/>
        <w:ind w:firstLine="567"/>
        <w:jc w:val="both"/>
      </w:pPr>
      <w:r>
        <w:rPr>
          <w:rFonts w:ascii="Arial" w:cs="Arial" w:eastAsia="Arial" w:hAnsi="Arial"/>
          <w:sz w:val="24"/>
          <w:szCs w:val="24"/>
        </w:rPr>
        <w:t xml:space="preserve">а) использование этого знака указывает на связь между товарами, в отношении которых этот знак используется, является предметом заявки на регистрацию или зарегистрирован, и собственником общеизвестного товарного знака и причиняет ущерб его интересам;</w:t>
      </w:r>
    </w:p>
    <w:p>
      <w:pPr>
        <w:spacing w:after="60"/>
        <w:ind w:firstLine="567"/>
        <w:jc w:val="both"/>
      </w:pPr>
      <w:r>
        <w:rPr>
          <w:rFonts w:ascii="Arial" w:cs="Arial" w:eastAsia="Arial" w:hAnsi="Arial"/>
          <w:sz w:val="24"/>
          <w:szCs w:val="24"/>
        </w:rPr>
        <w:t xml:space="preserve">б) использование этого знака причинит ущерб или ослабит недобросовестным образом отличительный характер общеизвестного знака;</w:t>
      </w:r>
    </w:p>
    <w:p>
      <w:pPr>
        <w:spacing w:after="60"/>
        <w:ind w:firstLine="567"/>
        <w:jc w:val="both"/>
      </w:pPr>
      <w:r>
        <w:rPr>
          <w:rFonts w:ascii="Arial" w:cs="Arial" w:eastAsia="Arial" w:hAnsi="Arial"/>
          <w:sz w:val="24"/>
          <w:szCs w:val="24"/>
        </w:rPr>
        <w:t xml:space="preserve">в) этот знак недобросовестным образом использует преимущества отличительного характера общеизвестного знака.</w:t>
      </w:r>
    </w:p>
    <w:p>
      <w:pPr>
        <w:spacing w:after="200" w:before="200"/>
        <w:jc w:val="center"/>
      </w:pPr>
      <w:r>
        <w:rPr>
          <w:rFonts w:ascii="Arial" w:cs="Arial" w:eastAsia="Arial" w:hAnsi="Arial"/>
          <w:b/>
          <w:bCs/>
          <w:sz w:val="24"/>
          <w:szCs w:val="24"/>
        </w:rPr>
        <w:t xml:space="preserve">V. Прекращение правовой охраны общеизвестного товарного знака</w:t>
      </w:r>
    </w:p>
    <w:p>
      <w:pPr>
        <w:spacing w:after="200"/>
        <w:jc w:val="center"/>
      </w:pPr>
      <w:r>
        <w:rPr>
          <w:rFonts w:ascii="Arial" w:cs="Arial" w:eastAsia="Arial" w:hAnsi="Arial"/>
          <w:i/>
          <w:iCs/>
          <w:sz w:val="24"/>
          <w:szCs w:val="24"/>
        </w:rPr>
        <w:t xml:space="preserve">(Раздел
 в редакции </w:t>
      </w:r>
      <w:hyperlink w:history="1" r:id="rIdj47vrbx3_grdgdkcbdwj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19 октября 2023 года № 555)</w:t>
      </w:r>
    </w:p>
    <w:p>
      <w:pPr>
        <w:spacing w:after="60"/>
        <w:ind w:firstLine="567"/>
        <w:jc w:val="both"/>
      </w:pPr>
      <w:r>
        <w:rPr>
          <w:rFonts w:ascii="Arial" w:cs="Arial" w:eastAsia="Arial" w:hAnsi="Arial"/>
          <w:sz w:val="24"/>
          <w:szCs w:val="24"/>
        </w:rPr>
        <w:t xml:space="preserve">19. Правовая охрана общеизвестного товарного знака прекращается по решению Апелляционного совета в случае утраты общеизвестным товарным знаком признаков, установленных пунктами 7, 8 и 8-1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ftbgogdgafnks5kxvgwt">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g2cubegdj3wyx7sp5kjm" Type="http://schemas.openxmlformats.org/officeDocument/2006/relationships/hyperlink" Target="http://kodeks.duckdns.org/document/7600" TargetMode="External"/><Relationship Id="rIde1jcgqfvomcxdhcymm7mh" Type="http://schemas.openxmlformats.org/officeDocument/2006/relationships/hyperlink" Target="http://kodeks.duckdns.org/document/6806" TargetMode="External"/><Relationship Id="rId4auevasir0af2glply3it" Type="http://schemas.openxmlformats.org/officeDocument/2006/relationships/hyperlink" Target="http://kodeks.duckdns.org/document/96505" TargetMode="External"/><Relationship Id="rId4yaan_nwrvkhjhh_wrw9-" Type="http://schemas.openxmlformats.org/officeDocument/2006/relationships/hyperlink" Target="http://kodeks.duckdns.org/document/160483" TargetMode="External"/><Relationship Id="rIdqqlllwnktw_mdizidvoad" Type="http://schemas.openxmlformats.org/officeDocument/2006/relationships/hyperlink" Target="http://kodeks.duckdns.org/document/112553" TargetMode="External"/><Relationship Id="rId2nphxjlekhc_klrpmc3sq" Type="http://schemas.openxmlformats.org/officeDocument/2006/relationships/hyperlink" Target="http://kodeks.duckdns.org/document/160483" TargetMode="External"/><Relationship Id="rIdk-hbntjbntwoefb8yxhk6" Type="http://schemas.openxmlformats.org/officeDocument/2006/relationships/hyperlink" Target="http://kodeks.duckdns.org/document/96505" TargetMode="External"/><Relationship Id="rIdokocbcocimb8y_dnkzf3e" Type="http://schemas.openxmlformats.org/officeDocument/2006/relationships/hyperlink" Target="http://kodeks.duckdns.org/document/96505" TargetMode="External"/><Relationship Id="rIdzuuehtclpdv7jsuqtcwmy" Type="http://schemas.openxmlformats.org/officeDocument/2006/relationships/hyperlink" Target="http://kodeks.duckdns.org/document/160483" TargetMode="External"/><Relationship Id="rIdmerhiefo_s2vjiqixqg9o" Type="http://schemas.openxmlformats.org/officeDocument/2006/relationships/hyperlink" Target="http://kodeks.duckdns.org/document/160483" TargetMode="External"/><Relationship Id="rIdd5bvek-baywc11ysvoir-" Type="http://schemas.openxmlformats.org/officeDocument/2006/relationships/hyperlink" Target="http://kodeks.duckdns.org/document/96505" TargetMode="External"/><Relationship Id="rIdwsq2lx3dwnwrdm6p7uwnx" Type="http://schemas.openxmlformats.org/officeDocument/2006/relationships/hyperlink" Target="http://kodeks.duckdns.org/document/112553#st_22" TargetMode="External"/><Relationship Id="rIdxolhpg-yp6xl7ghfgaz9o" Type="http://schemas.openxmlformats.org/officeDocument/2006/relationships/hyperlink" Target="http://kodeks.duckdns.org/document/112553#st_23" TargetMode="External"/><Relationship Id="rId7z9agsx2cxdtixmceyj15" Type="http://schemas.openxmlformats.org/officeDocument/2006/relationships/hyperlink" Target="http://kodeks.duckdns.org/document/160483" TargetMode="External"/><Relationship Id="rIdedap1dnkylgu0n1pgs6bn" Type="http://schemas.openxmlformats.org/officeDocument/2006/relationships/hyperlink" Target="http://kodeks.duckdns.org/document/160483" TargetMode="External"/><Relationship Id="rIdsnwprac6voblqohwf1q3j" Type="http://schemas.openxmlformats.org/officeDocument/2006/relationships/hyperlink" Target="http://kodeks.duckdns.org/document/160483" TargetMode="External"/><Relationship Id="rIduuoulu-oqk6jthy8i783b" Type="http://schemas.openxmlformats.org/officeDocument/2006/relationships/hyperlink" Target="http://kodeks.duckdns.org/document/160483" TargetMode="External"/><Relationship Id="rIds7uhxpvglwmos-i9odza2" Type="http://schemas.openxmlformats.org/officeDocument/2006/relationships/hyperlink" Target="http://kodeks.duckdns.org/document/160483" TargetMode="External"/><Relationship Id="rIdt8mlz-gij48dcmfphv9of" Type="http://schemas.openxmlformats.org/officeDocument/2006/relationships/hyperlink" Target="http://kodeks.duckdns.org/document/160483" TargetMode="External"/><Relationship Id="rIdj47vrbx3_grdgdkcbdwjq" Type="http://schemas.openxmlformats.org/officeDocument/2006/relationships/hyperlink" Target="http://kodeks.duckdns.org/document/160483" TargetMode="External"/><Relationship Id="rIdzftbgogdgafnks5kxvgwt" Type="http://schemas.openxmlformats.org/officeDocument/2006/relationships/hyperlink" Target="http://kodeks.duckdns.org/document/160483"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2026-09-23T05:27:47.875Z</dcterms:created>
  <dcterms:modified xsi:type="dcterms:W3CDTF">2026-09-23T05:27:47.875Z</dcterms:modified>
</cp:coreProperties>
</file>

<file path=docProps/custom.xml><?xml version="1.0" encoding="utf-8"?>
<Properties xmlns="http://schemas.openxmlformats.org/officeDocument/2006/custom-properties" xmlns:vt="http://schemas.openxmlformats.org/officeDocument/2006/docPropsVTypes"/>
</file>