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oaousxct09ospjeivg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Нацбанка Кыргызской Республики от 12 декабря 2018 года № 2018-П-14/53-8-(ПС)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2017-П-14/54-11-(НПА)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лицензировании деятельности операторов платежных систем и платежных организаций" от 25 ноября 2015 года № 71/11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Закона "</w:t>
      </w:r>
      <w:hyperlink w:history="1" r:id="rId7kd2fq9zas2s8vmh3wy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pujanuipusnaa7sgz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xcor6xdfmb5gxesdh3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операторов платежных систем и платежных организаций" от 25 ноября 2015 года № 71/11 </w:t>
      </w:r>
      <w:hyperlink w:history="1" r:id="rIdjyyu-j_a6wsvn4wthcs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Правления Национального банка Кыргызской Республики
 от 27 декабря 2017 года № 2017-П-14/54-11-(НПА)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лицензировании деятельности операторов платежных систем и платежных организаций" от 25 ноября 2015 года № 71/11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0dogwsb9xukbqwf5nf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</w:t>
      </w:r>
      <w:hyperlink w:history="1" r:id="rIdpxme77nmst8qj0bz-ff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операторов платежных систем и платежных организаций" от 25 ноября 2015 года № 71/11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ol3z2nj9cb7aktww18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операторов платежных систем и платежных организаций", утвержденном вышеуказанным </w:t>
      </w:r>
      <w:hyperlink w:history="1" r:id="rIdtrtqpcccycr9phzmaah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kfjy3gdp6khvcavu9nk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"субагент" в различных числовых и падежных формах заменить словом "агент" в соответствующих числах и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mjpeojlw7c-_kqjcfg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операторов платежных систем и платежных организаций (далее - Положение) определяет порядок лицензирования Национальным банком Кыргызской Республики (далее - Национальный банк) деятельности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x_ng-0frigqwmzr090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1-1 и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Лицензия, выдаваемая Национальным банком, является бессрочной, неотчуждаемой и не подлежит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В случае нарушения требований настоящего </w:t>
      </w:r>
      <w:hyperlink w:history="1" r:id="rIdctoypzo7wgkzl0ocbtr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Национальный банк вправе применять меры воздействия в отношении оператора платежной системы и/или платежной организации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настоящем </w:t>
      </w:r>
      <w:hyperlink w:history="1" r:id="rIdmsx4qbdjpsmjbgz_ong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используются следующие понятия, согласно их определениям, предусмотренным в законах Кыргызской Республики "</w:t>
      </w:r>
      <w:hyperlink w:history="1" r:id="rIdmp2bd6vp-ugl1cpz7l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mydx98lgfhyhehrqix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рамках настоящего </w:t>
      </w:r>
      <w:hyperlink w:history="1" r:id="rIdd_xc-vgqvxzxh-ojx7c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заключившее/ий с платежной организацией агентский договор об осуществлении деятельности по приему платежей физических и юридических лиц в пользу поставщиков.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Агентский договор</w:t>
      </w:r>
      <w:r>
        <w:rPr>
          <w:rFonts w:ascii="Arial" w:cs="Arial" w:eastAsia="Arial" w:hAnsi="Arial"/>
          <w:sz w:val="24"/>
          <w:szCs w:val="24"/>
        </w:rPr>
        <w:t xml:space="preserve"> - договор, заключенный между платежной организацией и агентом о предоставлении услуг, указанных в настоящем Положении, в целях исполнения агентского договора. При этом ответственность за действия агента перед поставщиком несет платежная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</w:t>
      </w:r>
      <w:r>
        <w:rPr>
          <w:rFonts w:ascii="Arial" w:cs="Arial" w:eastAsia="Arial" w:hAnsi="Arial"/>
          <w:sz w:val="24"/>
          <w:szCs w:val="24"/>
        </w:rPr>
        <w:t xml:space="preserve"> - члены коллегиального исполнительного органа, осуществляющие руководство текущей деятельностью платежной организации - члены Правления, генеральный директор/технический директор/директор (руководитель, отвечающий за техническое функционирование платежной системы), заместитель генерального директора/технического директора/директора, главный бухгалтер/бухгалтер, учредители/участники/акционеры.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обратившееся в Национальный банк для получения лицензии для осуществления деятельности оператора платежной системы и/или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лицо, пользующееся услугами платежных организаций при осуществлении платежей в пользу третьих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Клиринг</w:t>
      </w:r>
      <w:r>
        <w:rPr>
          <w:rFonts w:ascii="Arial" w:cs="Arial" w:eastAsia="Arial" w:hAnsi="Arial"/>
          <w:sz w:val="24"/>
          <w:szCs w:val="24"/>
        </w:rPr>
        <w:t xml:space="preserve"> - процесс сбора, обработки, подтверждения платежей и подсчета взаимных обязательств участников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Клиринговый центр</w:t>
      </w:r>
      <w:r>
        <w:rPr>
          <w:rFonts w:ascii="Arial" w:cs="Arial" w:eastAsia="Arial" w:hAnsi="Arial"/>
          <w:sz w:val="24"/>
          <w:szCs w:val="24"/>
        </w:rPr>
        <w:t xml:space="preserve"> - организация, в котором осуществляется клиринг.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 - оператор платежных систем и/или платежная организация, получившие лицензию Национального банка на право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товаров и услуг (далее - поставщик)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получающий денежные средства клиента за реализуемые товары (выполняемые работы,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Связанные с юридическим лицом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лица данного юридического лица и их близкие родственники;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юридические или физические лица, которые прямо или косвенно имеют значительное участие в капитале юридического лица и/или осуществляют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юридические лица, в которых данное юридическое лицо и его должностные лица имеют значительное участие и/или осуществляют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члены исполнительного органа других юридических лиц, указанных в подпунктах 2 и 3 настоящего термина, и их близкие родственники;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 - близкие родственники физических лиц, указанных в подпункте 2 настоящего термина;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юридические лица, в которых лица, указанные в подпункте 2 настоящего термина, имеют значительное участие и/или осуществляют контроль.";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Настоящее </w:t>
      </w:r>
      <w:hyperlink w:history="1" r:id="rIdlxkukv7xclxlz2inpzk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не распространяется на отношения по предоставлению агентами розничных банковских услуг населению на основании агентского договора с коммерческим банком, на деятельность небанковских финансово-кредитных организаций, осуществляющих свою деятельность на основании лицензии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Национальный банк вправе запрашивать от заявителя/лицензиата информацию, касающуюся его деятельности и деятельности его учредителей, информацию об их должностных лицах, аффилированных и связанных лицах, агентах, об осуществленных операциях в пользу аффилированных и связанных лиц. Заявитель/лицензиат обязан предоставлять запрашиваемую информацию в установленные Национальным банком сроки.";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слова "для действующих компаний -"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документ, подтверждающий внесение средств в качестве 100 процентов уставного капитала (не менее 1000000 (одного миллиона) сомов) на счет в коммерческом банке. Использование денежных средств, внесенных в целях формирования уставного капитала, до принятия решения о выдаче/отказе в выдаче лицензии запрещено. Уставный капитал служит обеспечением обязательств заявителя/лицензиата и должен формироваться только в национальной валюте за счет денежных средств учредителей/участников/акционеров. Запрещается формирование уставного капитала за счет основных средств, нематериальных активов и заемных средств;";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подпунктами 15-1) - 15-4)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сведения об аффилированных лицах и связанных лицах компании (ФИО физического лица, наименование юридического лица, подтверждающие документы, учредительные документы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акт установки и введение в промышленную эксплуатацию аппаратно-программного комплекса (далее - АПК);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15-3) копия договора аренды помещения или документа, устанавливающего право собственности заявителя/лицензиата на занимаемое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15-4) в случае, если оператор платежной системы использует арендуемое помещение для размещения АПК, необходимо представить договор аренды с техническим описанием помещения, который должен соответствовать требованиям по технической укрепленности и оснащенности. Договор аренды должен быть со сроком действия не менее одного года;";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dcrytueostltt1wvi1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19-1 - 19-2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При рассмотрении пакета документов, Национальный банк вправе осуществить предварительную проверку заявителя, которая осуществляется в течение 10 (десяти) рабочих дней после подачи заявления на получение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19-2. Предварительная проверка включает проверку работоспособности автоматизированных систем и соответствия представленных документов заявителя требованиям пункта 16 настоящего </w:t>
      </w:r>
      <w:hyperlink w:history="1" r:id="rIddxbytq-w2tukvh7b76k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floua44gkatujb0ey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Решение о выдаче лицензии принимает Комитет по платежной системе Национального банка. Лицензия подписывается заместителем председателя/членом Правления - председателем Комитета по платежной системе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Сведения о выдаче, переоформлении, о выдаче дубликата, приостановлении и отзыве лицензии заносятся в реестр, который ведется уполномоченным подразделением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подпунктами 4) - 5)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результаты предварительной проверки, подтверждающие несоответствие деятельности заявителя требованиям настоящего </w:t>
      </w:r>
      <w:hyperlink w:history="1" r:id="rIdqmjwylizymmhnpcrji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оплаты за выдачу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evv-antijnwtnctsc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Решение об отказе в выдаче лицензии принимает Комитет по платежной системе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изменение местонахождения юридического лица, связанное с изменением населенного пункта, а также переименование населенного пункта, в котором расположен оператор платежной системы и/или платежная организация.";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hnqquo4ugdzky2k_8t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Изменение местонахождения платежной организации внутри одного населенного пункта не влечет переоформление его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ulv6m0vcvsc4fk1hcs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За переоформление лицензии взимается плата в размере,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слова "(объявление в средствах массовой информации, справка из стола находок)"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"38. Лицензиар в течение 3 (трех) рабочих дней со дня подачи заявления производит выдачу дубликата лицензии с надписью "Дубликат" в правом верхнем углу или направляет отказ в выдаче дубликата лицензии с обоснованием причины отказа.";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yvg02ewazrwgtzx8p8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7 и 8 следующего содержания: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"Глава 7. Прекращение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Лицензия, выданная Национальным банком, прекращает свое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лицензии у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прекращения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отдельного вида деятельности из перечня лицензируемых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принятия решения о ликвидации/добровольном прекращении деятельности лицензиат должен в течение 15 рабочих дней с момента принятия решения предоставить заявление о прекращении деятельности и лицензию в Национальный банк, с указанием причины и приложением соответствующих решений уполномоченного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Лицензиат до сдачи соответствующей лицензии в Национальный банк должен выполнить условия договора с участниками платежной системы и поставщиками услуг и прекратить лицензируемый вид деятельности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Отзыв лицензии осуществляется в соответствии с Положением "О мерах воздействия, применяемых к операторам платежной системы/платежным организациям Кыргызской Республики".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обжалования решений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Решения, принимаемые Национальным банком в рамках настоящего </w:t>
      </w:r>
      <w:hyperlink w:history="1" r:id="rIdvajyuhz1dzabeeuky4o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могут быть обжалованы в соответствии с </w:t>
      </w:r>
      <w:hyperlink w:history="1" r:id="rIdhhgpvetbbag0mk8ubv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g9j-iexnq1drgcclf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dalil.kg/document/800035</w:t>
      </w:r>
    </w:hyperlink>
  </w:p>
  <w:p>
    <w:pPr>
      <w:spacing w:after="0" w:before="40"/>
      <w:jc w:val="center"/>
    </w:pPr>
    <w:hyperlink w:history="1" r:id="rIdxg1lapp-gqzxucyjaev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aousxct09ospjeivgrf" Type="http://schemas.openxmlformats.org/officeDocument/2006/relationships/hyperlink" Target="https://dalil.kg/document/800238" TargetMode="External"/><Relationship Id="rId7kd2fq9zas2s8vmh3wy6i" Type="http://schemas.openxmlformats.org/officeDocument/2006/relationships/hyperlink" Target="https://dalil.kg/document/111486" TargetMode="External"/><Relationship Id="rId1pujanuipusnaa7sgzlpo" Type="http://schemas.openxmlformats.org/officeDocument/2006/relationships/hyperlink" Target="https://dalil.kg/document/800033" TargetMode="External"/><Relationship Id="rIdsxcor6xdfmb5gxesdh3ks" Type="http://schemas.openxmlformats.org/officeDocument/2006/relationships/hyperlink" Target="https://dalil.kg/document/800034" TargetMode="External"/><Relationship Id="rIdjyyu-j_a6wsvn4wthcs34" Type="http://schemas.openxmlformats.org/officeDocument/2006/relationships/hyperlink" Target="https://dalil.kg/document/800035#p1" TargetMode="External"/><Relationship Id="rIdd0dogwsb9xukbqwf5nfvj" Type="http://schemas.openxmlformats.org/officeDocument/2006/relationships/hyperlink" Target="https://dalil.kg/document/800033" TargetMode="External"/><Relationship Id="rIdpxme77nmst8qj0bz-ff1j" Type="http://schemas.openxmlformats.org/officeDocument/2006/relationships/hyperlink" Target="https://dalil.kg/document/800034" TargetMode="External"/><Relationship Id="rIdhol3z2nj9cb7aktww18xx" Type="http://schemas.openxmlformats.org/officeDocument/2006/relationships/hyperlink" Target="https://dalil.kg/document/800034" TargetMode="External"/><Relationship Id="rIdtrtqpcccycr9phzmaahe2" Type="http://schemas.openxmlformats.org/officeDocument/2006/relationships/hyperlink" Target="https://dalil.kg/document/800033" TargetMode="External"/><Relationship Id="rIdkfjy3gdp6khvcavu9nkls" Type="http://schemas.openxmlformats.org/officeDocument/2006/relationships/hyperlink" Target="https://dalil.kg/document/800034" TargetMode="External"/><Relationship Id="rIdmjpeojlw7c-_kqjcfgdes" Type="http://schemas.openxmlformats.org/officeDocument/2006/relationships/hyperlink" Target="https://dalil.kg/document/800034" TargetMode="External"/><Relationship Id="rIdex_ng-0frigqwmzr090ru" Type="http://schemas.openxmlformats.org/officeDocument/2006/relationships/hyperlink" Target="https://dalil.kg/document/800034" TargetMode="External"/><Relationship Id="rIdctoypzo7wgkzl0ocbtr-q" Type="http://schemas.openxmlformats.org/officeDocument/2006/relationships/hyperlink" Target="https://dalil.kg/document/800034" TargetMode="External"/><Relationship Id="rIdmsx4qbdjpsmjbgz_ongl0" Type="http://schemas.openxmlformats.org/officeDocument/2006/relationships/hyperlink" Target="https://dalil.kg/document/800034" TargetMode="External"/><Relationship Id="rIdmp2bd6vp-ugl1cpz7lmxb" Type="http://schemas.openxmlformats.org/officeDocument/2006/relationships/hyperlink" Target="https://dalil.kg/document/111486" TargetMode="External"/><Relationship Id="rId5mydx98lgfhyhehrqixp6" Type="http://schemas.openxmlformats.org/officeDocument/2006/relationships/hyperlink" Target="https://dalil.kg/document/205425" TargetMode="External"/><Relationship Id="rIdd_xc-vgqvxzxh-ojx7cfc" Type="http://schemas.openxmlformats.org/officeDocument/2006/relationships/hyperlink" Target="https://dalil.kg/document/800034" TargetMode="External"/><Relationship Id="rIdlxkukv7xclxlz2inpzk26" Type="http://schemas.openxmlformats.org/officeDocument/2006/relationships/hyperlink" Target="https://dalil.kg/document/800034" TargetMode="External"/><Relationship Id="rIdndcrytueostltt1wvi1l4" Type="http://schemas.openxmlformats.org/officeDocument/2006/relationships/hyperlink" Target="https://dalil.kg/document/800034" TargetMode="External"/><Relationship Id="rIddxbytq-w2tukvh7b76kl-" Type="http://schemas.openxmlformats.org/officeDocument/2006/relationships/hyperlink" Target="https://dalil.kg/document/800034" TargetMode="External"/><Relationship Id="rIdplfloua44gkatujb0eyph" Type="http://schemas.openxmlformats.org/officeDocument/2006/relationships/hyperlink" Target="https://dalil.kg/document/800034" TargetMode="External"/><Relationship Id="rIdqmjwylizymmhnpcrjiuxn" Type="http://schemas.openxmlformats.org/officeDocument/2006/relationships/hyperlink" Target="https://dalil.kg/document/800034" TargetMode="External"/><Relationship Id="rIdyevv-antijnwtnctsczts" Type="http://schemas.openxmlformats.org/officeDocument/2006/relationships/hyperlink" Target="https://dalil.kg/document/800034" TargetMode="External"/><Relationship Id="rIddhnqquo4ugdzky2k_8tq3" Type="http://schemas.openxmlformats.org/officeDocument/2006/relationships/hyperlink" Target="https://dalil.kg/document/800034" TargetMode="External"/><Relationship Id="rIdlulv6m0vcvsc4fk1hcsy1" Type="http://schemas.openxmlformats.org/officeDocument/2006/relationships/hyperlink" Target="https://dalil.kg/document/800034" TargetMode="External"/><Relationship Id="rIdcyvg02ewazrwgtzx8p874" Type="http://schemas.openxmlformats.org/officeDocument/2006/relationships/hyperlink" Target="https://dalil.kg/document/800034" TargetMode="External"/><Relationship Id="rIdvajyuhz1dzabeeuky4o4x" Type="http://schemas.openxmlformats.org/officeDocument/2006/relationships/hyperlink" Target="https://dalil.kg/document/800034" TargetMode="External"/><Relationship Id="rIdhhgpvetbbag0mk8ubvcxl" Type="http://schemas.openxmlformats.org/officeDocument/2006/relationships/hyperlink" Target="https://dalil.kg/document/3117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g9j-iexnq1drgcclf2i" Type="http://schemas.openxmlformats.org/officeDocument/2006/relationships/hyperlink" Target="https://dalil.kg/document/800035" TargetMode="External"/><Relationship Id="rIdxg1lapp-gqzxucyjaev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2026-09-24T20:22:41.397Z</dcterms:created>
  <dcterms:modified xsi:type="dcterms:W3CDTF">2026-09-24T20:22:41.397Z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