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f760rovxztdcmbpogfst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30 марта 2016 года № 15/6</w:t>
      </w:r>
    </w:p>
    <w:p>
      <w:pPr>
        <w:spacing w:after="400" w:before="400"/>
        <w:jc w:val="center"/>
      </w:pPr>
      <w:r>
        <w:rPr>
          <w:rFonts w:ascii="Arial" w:cs="Arial" w:eastAsia="Arial" w:hAnsi="Arial"/>
          <w:b/>
          <w:bCs/>
          <w:sz w:val="32"/>
          <w:szCs w:val="32"/>
        </w:rPr>
        <w:t xml:space="preserve">ПОЛОЖЕНИЕ
 об электронных деньгах в Кыргызской Республике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rwnmlrtchjvhrgdnn3q_l">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 </w:t>
      </w:r>
      <w:hyperlink w:history="1" r:id="rIdhe9qr28m-cai7_8nl0lbn">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 </w:t>
      </w:r>
      <w:hyperlink w:history="1" r:id="rId0pp9w9r6p-ydcfd8poumd">
        <w:r>
          <w:rPr>
            <w:rFonts w:ascii="Arial" w:cs="Arial" w:eastAsia="Arial" w:hAnsi="Arial"/>
            <w:i/>
            <w:iCs/>
            <w:color w:val="1D4ED8"/>
            <w:sz w:val="24"/>
            <w:szCs w:val="24"/>
            <w:u w:val="single"/>
          </w:rPr>
          <w:t xml:space="preserve">27 февраля 2019 года № 2019-П-14/9-4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zgkt-w24y4skh3mx-idz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Правления Нацбанка КР от 17 мая 2017 года № 19/1)</w:t>
      </w:r>
    </w:p>
    <w:p>
      <w:pPr>
        <w:spacing w:after="60"/>
        <w:ind w:firstLine="567"/>
        <w:jc w:val="both"/>
      </w:pPr>
      <w:r>
        <w:rPr>
          <w:rFonts w:ascii="Arial" w:cs="Arial" w:eastAsia="Arial" w:hAnsi="Arial"/>
          <w:sz w:val="24"/>
          <w:szCs w:val="24"/>
        </w:rPr>
        <w:t xml:space="preserve">2. Настоящее Положение устанавливает порядок и требования к коммерческим банкам (далее - банк), операторам, агентам, субагентам и операторам международной системы электронных денег/эмитентам международных электронных денег по совершению операций с электронными деньгами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oihiptpbshfamhhpnyap">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Операции с электронными деньгами включают в себя выпуск, распространение, погашение электронных денег и предоставление платежных услуг с использованием электронных денег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wvqqit2-ooibhhjddoim">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Выпуск электронных денег на территории Кыргызской Республики является лицензируемой деятельностью. Лицензия выдается банку только на выполнение следующих видов операций:</w:t>
      </w:r>
    </w:p>
    <w:p>
      <w:pPr>
        <w:spacing w:after="60"/>
        <w:ind w:firstLine="567"/>
        <w:jc w:val="both"/>
      </w:pPr>
      <w:r>
        <w:rPr>
          <w:rFonts w:ascii="Arial" w:cs="Arial" w:eastAsia="Arial" w:hAnsi="Arial"/>
          <w:sz w:val="24"/>
          <w:szCs w:val="24"/>
        </w:rPr>
        <w:t xml:space="preserve">1) выпуск, распространение и погашение электронных денег;</w:t>
      </w:r>
    </w:p>
    <w:p>
      <w:pPr>
        <w:spacing w:after="60"/>
        <w:ind w:firstLine="567"/>
        <w:jc w:val="both"/>
      </w:pPr>
      <w:r>
        <w:rPr>
          <w:rFonts w:ascii="Arial" w:cs="Arial" w:eastAsia="Arial" w:hAnsi="Arial"/>
          <w:sz w:val="24"/>
          <w:szCs w:val="24"/>
        </w:rPr>
        <w:t xml:space="preserve">2) прием поручений от держателей электронных денег на осуществление оплаты за товары/услуги, передаваемых банку с использованием интернет, мобильной и других средств связи;</w:t>
      </w:r>
    </w:p>
    <w:p>
      <w:pPr>
        <w:spacing w:after="60"/>
        <w:ind w:firstLine="567"/>
        <w:jc w:val="both"/>
      </w:pPr>
      <w:r>
        <w:rPr>
          <w:rFonts w:ascii="Arial" w:cs="Arial" w:eastAsia="Arial" w:hAnsi="Arial"/>
          <w:sz w:val="24"/>
          <w:szCs w:val="24"/>
        </w:rPr>
        <w:t xml:space="preserve">3) обработка (процессинг) транзакций с использованием электронных денег;</w:t>
      </w:r>
    </w:p>
    <w:p>
      <w:pPr>
        <w:spacing w:after="60"/>
        <w:ind w:firstLine="567"/>
        <w:jc w:val="both"/>
      </w:pPr>
      <w:r>
        <w:rPr>
          <w:rFonts w:ascii="Arial" w:cs="Arial" w:eastAsia="Arial" w:hAnsi="Arial"/>
          <w:sz w:val="24"/>
          <w:szCs w:val="24"/>
        </w:rPr>
        <w:t xml:space="preserve">4) осуществление расчетов с акцептантами, с которыми заключены договоры, по обработанным в системе платежам от имени и по поручению держателей.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xx6gwbfdq-gnnlaw747o">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Банки, операторы, агенты, субагенты, а также операторы международных систем электронных денег/эмитенты международных электронных денег должны соблюдать и выполнять требования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jzh4nerldif_06grmcef">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Термины и определения</w:t>
      </w:r>
    </w:p>
    <w:p>
      <w:pPr>
        <w:spacing w:after="60"/>
        <w:ind w:firstLine="567"/>
        <w:jc w:val="both"/>
      </w:pPr>
      <w:r>
        <w:rPr>
          <w:rFonts w:ascii="Arial" w:cs="Arial" w:eastAsia="Arial" w:hAnsi="Arial"/>
          <w:sz w:val="24"/>
          <w:szCs w:val="24"/>
        </w:rPr>
        <w:t xml:space="preserve">6. Для целей настоящего Положения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Акцептант электронных денег (акцептант)</w:t>
      </w:r>
      <w:r>
        <w:rPr>
          <w:rFonts w:ascii="Arial" w:cs="Arial" w:eastAsia="Arial" w:hAnsi="Arial"/>
          <w:sz w:val="24"/>
          <w:szCs w:val="24"/>
        </w:rPr>
        <w:t xml:space="preserve"> - юридическое лицо, а также индивидуальный предприниматель, который в соответствии с заключенным договором с банком-эмитентом электронных денег или агентом принимает электронные деньги для оплаты товаров или услуг с предоставлением документов, подтверждающих совершение операций с электронными деньгами.</w:t>
      </w:r>
    </w:p>
    <w:p>
      <w:pPr>
        <w:spacing w:after="60"/>
        <w:ind w:firstLine="567"/>
        <w:jc w:val="both"/>
      </w:pPr>
      <w:r>
        <w:rPr>
          <w:rFonts w:ascii="Arial" w:cs="Arial" w:eastAsia="Arial" w:hAnsi="Arial"/>
          <w:b/>
          <w:bCs/>
          <w:sz w:val="24"/>
          <w:szCs w:val="24"/>
        </w:rPr>
        <w:t xml:space="preserve">Агент (дистрибьютор) электронных денег</w:t>
      </w:r>
      <w:r>
        <w:rPr>
          <w:rFonts w:ascii="Arial" w:cs="Arial" w:eastAsia="Arial" w:hAnsi="Arial"/>
          <w:sz w:val="24"/>
          <w:szCs w:val="24"/>
        </w:rPr>
        <w:t xml:space="preserve"> - юридическое лицо или индивидуальный предприниматель, резидент, который производит погашение (обмен) электронных денег на наличные или безналичные денежные средства, распространяет электронные деньги в соответствии с условиями настоящего Положения, на основании заключенного агентского договора с банком, выпустившим электронные деньги.</w:t>
      </w:r>
    </w:p>
    <w:p>
      <w:pPr>
        <w:spacing w:after="60"/>
        <w:ind w:firstLine="567"/>
        <w:jc w:val="both"/>
      </w:pPr>
      <w:r>
        <w:rPr>
          <w:rFonts w:ascii="Arial" w:cs="Arial" w:eastAsia="Arial" w:hAnsi="Arial"/>
          <w:b/>
          <w:bCs/>
          <w:sz w:val="24"/>
          <w:szCs w:val="24"/>
        </w:rPr>
        <w:t xml:space="preserve">Агент международных систем электронных денег</w:t>
      </w:r>
      <w:r>
        <w:rPr>
          <w:rFonts w:ascii="Arial" w:cs="Arial" w:eastAsia="Arial" w:hAnsi="Arial"/>
          <w:sz w:val="24"/>
          <w:szCs w:val="24"/>
        </w:rPr>
        <w:t xml:space="preserve"> - банк-резидент, осуществляющий деятельность в соответствии законодательством Кыргызской Республики и имеющий договорные отношения с эмитентом международных систем электронных денег.</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это установка подлинности лица путем проверки подлинности предъявленного идентификатора (ПИН-код, логин и др.).</w:t>
      </w:r>
    </w:p>
    <w:p>
      <w:pPr>
        <w:spacing w:after="60"/>
        <w:ind w:firstLine="567"/>
        <w:jc w:val="both"/>
      </w:pPr>
      <w:r>
        <w:rPr>
          <w:rFonts w:ascii="Arial" w:cs="Arial" w:eastAsia="Arial" w:hAnsi="Arial"/>
          <w:b/>
          <w:bCs/>
          <w:sz w:val="24"/>
          <w:szCs w:val="24"/>
        </w:rPr>
        <w:t xml:space="preserve">Использование электронных денег в расчетах</w:t>
      </w:r>
      <w:r>
        <w:rPr>
          <w:rFonts w:ascii="Arial" w:cs="Arial" w:eastAsia="Arial" w:hAnsi="Arial"/>
          <w:sz w:val="24"/>
          <w:szCs w:val="24"/>
        </w:rPr>
        <w:t xml:space="preserve"> - передача держателем электронных денег акцептанту с использованием программно-технических средств при осуществлении расчета за предоставленные товары и/или услуги. Расчеты с использованием электронных денег являются безналичными, если движение денежных средств происходит в национальной валюте, без участия наличных денег, путем списания денежных средств со счета держателя электронных денег и зачисления их на счет акцептанта.</w:t>
      </w:r>
    </w:p>
    <w:p>
      <w:pPr>
        <w:spacing w:after="60"/>
        <w:ind w:firstLine="567"/>
        <w:jc w:val="both"/>
      </w:pPr>
      <w:r>
        <w:rPr>
          <w:rFonts w:ascii="Arial" w:cs="Arial" w:eastAsia="Arial" w:hAnsi="Arial"/>
          <w:b/>
          <w:bCs/>
          <w:sz w:val="24"/>
          <w:szCs w:val="24"/>
        </w:rPr>
        <w:t xml:space="preserve">Идентификационный номер электронного кошелька</w:t>
      </w:r>
      <w:r>
        <w:rPr>
          <w:rFonts w:ascii="Arial" w:cs="Arial" w:eastAsia="Arial" w:hAnsi="Arial"/>
          <w:sz w:val="24"/>
          <w:szCs w:val="24"/>
        </w:rPr>
        <w:t xml:space="preserve"> - уникальный номер электронного кошелька, который присваивается при его первоначальной регистрации в системе. По идентификационному номеру электронного кошелька держатель имеет возможность получить информацию о движении денежных средств и остатке на электронном кошельке, а также производить блокировку кошелька в случае необходимости.</w:t>
      </w:r>
    </w:p>
    <w:p>
      <w:pPr>
        <w:spacing w:after="60"/>
        <w:ind w:firstLine="567"/>
        <w:jc w:val="both"/>
      </w:pPr>
      <w:r>
        <w:rPr>
          <w:rFonts w:ascii="Arial" w:cs="Arial" w:eastAsia="Arial" w:hAnsi="Arial"/>
          <w:b/>
          <w:bCs/>
          <w:sz w:val="24"/>
          <w:szCs w:val="24"/>
        </w:rPr>
        <w:t xml:space="preserve">Идентифицированный электронный кошелек</w:t>
      </w:r>
      <w:r>
        <w:rPr>
          <w:rFonts w:ascii="Arial" w:cs="Arial" w:eastAsia="Arial" w:hAnsi="Arial"/>
          <w:sz w:val="24"/>
          <w:szCs w:val="24"/>
        </w:rPr>
        <w:t xml:space="preserve"> - электронный кошелек, держатель которого прошел процесс идентификации и верификации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Международные электронные деньги</w:t>
      </w:r>
      <w:r>
        <w:rPr>
          <w:rFonts w:ascii="Arial" w:cs="Arial" w:eastAsia="Arial" w:hAnsi="Arial"/>
          <w:sz w:val="24"/>
          <w:szCs w:val="24"/>
        </w:rPr>
        <w:t xml:space="preserve"> - электронные деньги, электронные денежные средства, денежные обязательства в электронной форме, выпущенные (учитываемые) нерезидентами Кыргызской Республики в рамках законодательства страны происхождения за пределами Кыргызской Республики.</w:t>
      </w:r>
    </w:p>
    <w:p>
      <w:pPr>
        <w:spacing w:after="60"/>
        <w:ind w:firstLine="567"/>
        <w:jc w:val="both"/>
      </w:pPr>
      <w:r>
        <w:rPr>
          <w:rFonts w:ascii="Arial" w:cs="Arial" w:eastAsia="Arial" w:hAnsi="Arial"/>
          <w:b/>
          <w:bCs/>
          <w:sz w:val="24"/>
          <w:szCs w:val="24"/>
        </w:rPr>
        <w:t xml:space="preserve">Наличные денежные средства</w:t>
      </w:r>
      <w:r>
        <w:rPr>
          <w:rFonts w:ascii="Arial" w:cs="Arial" w:eastAsia="Arial" w:hAnsi="Arial"/>
          <w:sz w:val="24"/>
          <w:szCs w:val="24"/>
        </w:rPr>
        <w:t xml:space="preserve"> - денежные знаки в виде банкнот и монет в иностранной и национальной валютах.</w:t>
      </w:r>
    </w:p>
    <w:p>
      <w:pPr>
        <w:spacing w:after="60"/>
        <w:ind w:firstLine="567"/>
        <w:jc w:val="both"/>
      </w:pPr>
      <w:r>
        <w:rPr>
          <w:rFonts w:ascii="Arial" w:cs="Arial" w:eastAsia="Arial" w:hAnsi="Arial"/>
          <w:b/>
          <w:bCs/>
          <w:sz w:val="24"/>
          <w:szCs w:val="24"/>
        </w:rPr>
        <w:t xml:space="preserve">Оператор системы расчетов электронными деньгами</w:t>
      </w:r>
      <w:r>
        <w:rPr>
          <w:rFonts w:ascii="Arial" w:cs="Arial" w:eastAsia="Arial" w:hAnsi="Arial"/>
          <w:sz w:val="24"/>
          <w:szCs w:val="24"/>
        </w:rPr>
        <w:t xml:space="preserve"> </w:t>
      </w:r>
      <w:r>
        <w:rPr>
          <w:rFonts w:ascii="Arial" w:cs="Arial" w:eastAsia="Arial" w:hAnsi="Arial"/>
          <w:b/>
          <w:bCs/>
          <w:sz w:val="24"/>
          <w:szCs w:val="24"/>
        </w:rPr>
        <w:t xml:space="preserve">(далее - оператор)</w:t>
      </w:r>
      <w:r>
        <w:rPr>
          <w:rFonts w:ascii="Arial" w:cs="Arial" w:eastAsia="Arial" w:hAnsi="Arial"/>
          <w:sz w:val="24"/>
          <w:szCs w:val="24"/>
        </w:rPr>
        <w:t xml:space="preserve"> - оператор платежной системы, резидент, действующий в соответствии с законодательством Кыргызской Республики, который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электронными деньгами, проводит процессинг на основании договора с банком.</w:t>
      </w:r>
    </w:p>
    <w:p>
      <w:pPr>
        <w:spacing w:after="60"/>
        <w:ind w:firstLine="567"/>
        <w:jc w:val="both"/>
      </w:pPr>
      <w:r>
        <w:rPr>
          <w:rFonts w:ascii="Arial" w:cs="Arial" w:eastAsia="Arial" w:hAnsi="Arial"/>
          <w:b/>
          <w:bCs/>
          <w:sz w:val="24"/>
          <w:szCs w:val="24"/>
        </w:rPr>
        <w:t xml:space="preserve">Погашение</w:t>
      </w:r>
      <w:r>
        <w:rPr>
          <w:rFonts w:ascii="Arial" w:cs="Arial" w:eastAsia="Arial" w:hAnsi="Arial"/>
          <w:sz w:val="24"/>
          <w:szCs w:val="24"/>
        </w:rPr>
        <w:t xml:space="preserve"> - операция обмена электронных денег/международных электронных денег, предъявляемых держателем банку, оператору, агенту, субагенту/субагенту международных систем электронных денег, на наличные или безналичные денежные средства, не превышающие остаток хранимой на них суммы электронных денег/международных электронных денег. Погашение может производиться с применением периферийных устройств банка.</w:t>
      </w:r>
    </w:p>
    <w:p>
      <w:pPr>
        <w:spacing w:after="60"/>
        <w:ind w:firstLine="567"/>
        <w:jc w:val="both"/>
      </w:pPr>
      <w:r>
        <w:rPr>
          <w:rFonts w:ascii="Arial" w:cs="Arial" w:eastAsia="Arial" w:hAnsi="Arial"/>
          <w:b/>
          <w:bCs/>
          <w:sz w:val="24"/>
          <w:szCs w:val="24"/>
        </w:rPr>
        <w:t xml:space="preserve">Процессинг электронных денег</w:t>
      </w:r>
      <w:r>
        <w:rPr>
          <w:rFonts w:ascii="Arial" w:cs="Arial" w:eastAsia="Arial" w:hAnsi="Arial"/>
          <w:sz w:val="24"/>
          <w:szCs w:val="24"/>
        </w:rPr>
        <w:t xml:space="preserve"> - деятельность, включающая в себя сбор, обработку и рассылку информации участникам об операциях с электронными деньгами, предусмотренных соответствующими договорами между участниками системы расчетов с использованием электронных денег.</w:t>
      </w:r>
    </w:p>
    <w:p>
      <w:pPr>
        <w:spacing w:after="60"/>
        <w:ind w:firstLine="567"/>
        <w:jc w:val="both"/>
      </w:pPr>
      <w:r>
        <w:rPr>
          <w:rFonts w:ascii="Arial" w:cs="Arial" w:eastAsia="Arial" w:hAnsi="Arial"/>
          <w:b/>
          <w:bCs/>
          <w:sz w:val="24"/>
          <w:szCs w:val="24"/>
        </w:rPr>
        <w:t xml:space="preserve">Расчетный банк</w:t>
      </w:r>
      <w:r>
        <w:rPr>
          <w:rFonts w:ascii="Arial" w:cs="Arial" w:eastAsia="Arial" w:hAnsi="Arial"/>
          <w:sz w:val="24"/>
          <w:szCs w:val="24"/>
        </w:rPr>
        <w:t xml:space="preserve"> - банк, осуществляющий взаиморасчеты между участниками системы расчетов с использованием электронных денег.</w:t>
      </w:r>
    </w:p>
    <w:p>
      <w:pPr>
        <w:spacing w:after="60"/>
        <w:ind w:firstLine="567"/>
        <w:jc w:val="both"/>
      </w:pPr>
      <w:r>
        <w:rPr>
          <w:rFonts w:ascii="Arial" w:cs="Arial" w:eastAsia="Arial" w:hAnsi="Arial"/>
          <w:b/>
          <w:bCs/>
          <w:sz w:val="24"/>
          <w:szCs w:val="24"/>
        </w:rPr>
        <w:t xml:space="preserve">Распространение электронных денег</w:t>
      </w:r>
      <w:r>
        <w:rPr>
          <w:rFonts w:ascii="Arial" w:cs="Arial" w:eastAsia="Arial" w:hAnsi="Arial"/>
          <w:sz w:val="24"/>
          <w:szCs w:val="24"/>
        </w:rPr>
        <w:t xml:space="preserve"> - услуга банка, агента, субагента, агента (субагента) международных систем электронных денег по предоставлению электронных денег/международных электронных денег держателям для дальнейшего их использования.</w:t>
      </w:r>
    </w:p>
    <w:p>
      <w:pPr>
        <w:spacing w:after="60"/>
        <w:ind w:firstLine="567"/>
        <w:jc w:val="both"/>
      </w:pPr>
      <w:r>
        <w:rPr>
          <w:rFonts w:ascii="Arial" w:cs="Arial" w:eastAsia="Arial" w:hAnsi="Arial"/>
          <w:b/>
          <w:bCs/>
          <w:sz w:val="24"/>
          <w:szCs w:val="24"/>
        </w:rPr>
        <w:t xml:space="preserve">Банковский счет по учету электронных денег</w:t>
      </w:r>
      <w:r>
        <w:rPr>
          <w:rFonts w:ascii="Arial" w:cs="Arial" w:eastAsia="Arial" w:hAnsi="Arial"/>
          <w:sz w:val="24"/>
          <w:szCs w:val="24"/>
        </w:rPr>
        <w:t xml:space="preserve"> - счет, открытый банком, который используется только для проведения операций по зачислению суммы денежных средств по выпущенным электронным деньгам, и по списанию денежных средств для погашения электронных денег. Остаток на данном счете равен общей сумме обязательств по всем выпущенным электронным деньгам. Списание денежных средств с этого счета ограничивается и осуществляется только в адрес акцептантов, на погашение электронных денег, включая перевод средств с одного электронного кошелька на другой, находящиеся в разных системах электронных денег.</w:t>
      </w:r>
    </w:p>
    <w:p>
      <w:pPr>
        <w:spacing w:after="60"/>
        <w:ind w:firstLine="567"/>
        <w:jc w:val="both"/>
      </w:pPr>
      <w:r>
        <w:rPr>
          <w:rFonts w:ascii="Arial" w:cs="Arial" w:eastAsia="Arial" w:hAnsi="Arial"/>
          <w:b/>
          <w:bCs/>
          <w:sz w:val="24"/>
          <w:szCs w:val="24"/>
        </w:rPr>
        <w:t xml:space="preserve">Регистрация в системе электронных денег</w:t>
      </w:r>
      <w:r>
        <w:rPr>
          <w:rFonts w:ascii="Arial" w:cs="Arial" w:eastAsia="Arial" w:hAnsi="Arial"/>
          <w:sz w:val="24"/>
          <w:szCs w:val="24"/>
        </w:rPr>
        <w:t xml:space="preserve"> - проведение клиентом регистрации в системе с обязательной аутентификацией, путем введения своих данных в соответствии с процедурами банка, оператора, международной системы электронных денег.</w:t>
      </w:r>
    </w:p>
    <w:p>
      <w:pPr>
        <w:spacing w:after="60"/>
        <w:ind w:firstLine="567"/>
        <w:jc w:val="both"/>
      </w:pPr>
      <w:r>
        <w:rPr>
          <w:rFonts w:ascii="Arial" w:cs="Arial" w:eastAsia="Arial" w:hAnsi="Arial"/>
          <w:b/>
          <w:bCs/>
          <w:sz w:val="24"/>
          <w:szCs w:val="24"/>
        </w:rPr>
        <w:t xml:space="preserve">Система расчетов с использованием электронных денег (система электронных денег)</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обращение электронных денег.</w:t>
      </w:r>
    </w:p>
    <w:p>
      <w:pPr>
        <w:spacing w:after="60"/>
        <w:ind w:firstLine="567"/>
        <w:jc w:val="both"/>
      </w:pPr>
      <w:r>
        <w:rPr>
          <w:rFonts w:ascii="Arial" w:cs="Arial" w:eastAsia="Arial" w:hAnsi="Arial"/>
          <w:b/>
          <w:bCs/>
          <w:sz w:val="24"/>
          <w:szCs w:val="24"/>
        </w:rPr>
        <w:t xml:space="preserve">Субагент/субагент международных электронных денег</w:t>
      </w:r>
      <w:r>
        <w:rPr>
          <w:rFonts w:ascii="Arial" w:cs="Arial" w:eastAsia="Arial" w:hAnsi="Arial"/>
          <w:sz w:val="24"/>
          <w:szCs w:val="24"/>
        </w:rPr>
        <w:t xml:space="preserve"> - юридическое лицо или индивидуальный предприниматель, заключивший субагентский договор с агентом/агентом международных электронных денег на осуществление операций по распространению и погашению электронных денег/международных электронных денег.</w:t>
      </w:r>
    </w:p>
    <w:p>
      <w:pPr>
        <w:spacing w:after="60"/>
        <w:ind w:firstLine="567"/>
        <w:jc w:val="both"/>
      </w:pPr>
      <w:r>
        <w:rPr>
          <w:rFonts w:ascii="Arial" w:cs="Arial" w:eastAsia="Arial" w:hAnsi="Arial"/>
          <w:b/>
          <w:bCs/>
          <w:sz w:val="24"/>
          <w:szCs w:val="24"/>
        </w:rPr>
        <w:t xml:space="preserve">Устройство доступа</w:t>
      </w:r>
      <w:r>
        <w:rPr>
          <w:rFonts w:ascii="Arial" w:cs="Arial" w:eastAsia="Arial" w:hAnsi="Arial"/>
          <w:sz w:val="24"/>
          <w:szCs w:val="24"/>
        </w:rPr>
        <w:t xml:space="preserve"> - это инструмент (персональный компьютер, планшетный компьютер, мобильный телефон или иное устройство), обеспечивающий держателю доступ к своему электронному кошельку для осуществления платежей с использованием электронных денег.</w:t>
      </w:r>
    </w:p>
    <w:p>
      <w:pPr>
        <w:spacing w:after="60"/>
        <w:ind w:firstLine="567"/>
        <w:jc w:val="both"/>
      </w:pPr>
      <w:r>
        <w:rPr>
          <w:rFonts w:ascii="Arial" w:cs="Arial" w:eastAsia="Arial" w:hAnsi="Arial"/>
          <w:b/>
          <w:bCs/>
          <w:sz w:val="24"/>
          <w:szCs w:val="24"/>
        </w:rPr>
        <w:t xml:space="preserve">Участники системы электронных денег</w:t>
      </w:r>
      <w:r>
        <w:rPr>
          <w:rFonts w:ascii="Arial" w:cs="Arial" w:eastAsia="Arial" w:hAnsi="Arial"/>
          <w:sz w:val="24"/>
          <w:szCs w:val="24"/>
        </w:rPr>
        <w:t xml:space="preserve"> - банк, агент, оператор, акцептант, держатель электронных денег, расчетный банк, субагент/субагент международных электронных денег.</w:t>
      </w:r>
    </w:p>
    <w:p>
      <w:pPr>
        <w:spacing w:after="60"/>
        <w:ind w:firstLine="567"/>
        <w:jc w:val="both"/>
      </w:pPr>
      <w:r>
        <w:rPr>
          <w:rFonts w:ascii="Arial" w:cs="Arial" w:eastAsia="Arial" w:hAnsi="Arial"/>
          <w:b/>
          <w:bCs/>
          <w:sz w:val="24"/>
          <w:szCs w:val="24"/>
        </w:rPr>
        <w:t xml:space="preserve">Эмиссия (далее - выпуск) электронных денег</w:t>
      </w:r>
      <w:r>
        <w:rPr>
          <w:rFonts w:ascii="Arial" w:cs="Arial" w:eastAsia="Arial" w:hAnsi="Arial"/>
          <w:sz w:val="24"/>
          <w:szCs w:val="24"/>
        </w:rPr>
        <w:t xml:space="preserve"> - деятельность банка по выпуску собственных электронных денег в обращение в обмен на наличные или безналичные денежные средства с предоставлением возможности их последующего погашения.</w:t>
      </w:r>
    </w:p>
    <w:p>
      <w:pPr>
        <w:spacing w:after="60"/>
        <w:ind w:firstLine="567"/>
        <w:jc w:val="both"/>
      </w:pPr>
      <w:r>
        <w:rPr>
          <w:rFonts w:ascii="Arial" w:cs="Arial" w:eastAsia="Arial" w:hAnsi="Arial"/>
          <w:b/>
          <w:bCs/>
          <w:sz w:val="24"/>
          <w:szCs w:val="24"/>
        </w:rPr>
        <w:t xml:space="preserve">Электронные деньги</w:t>
      </w:r>
      <w:r>
        <w:rPr>
          <w:rFonts w:ascii="Arial" w:cs="Arial" w:eastAsia="Arial" w:hAnsi="Arial"/>
          <w:sz w:val="24"/>
          <w:szCs w:val="24"/>
        </w:rPr>
        <w:t xml:space="preserve"> - денежная стоимость, которая хранится в электронном виде на программно-техническом устройстве (предоплаченные карты, виртуальные предоплаченные карты и электронный кошелек являются инструментами (носителями) электронных денег) и принимаются в качестве средства платежа за товары/услуги организации-эмитента электронных денег и организаций акцептантов.</w:t>
      </w:r>
    </w:p>
    <w:p>
      <w:pPr>
        <w:spacing w:after="60"/>
        <w:ind w:firstLine="567"/>
        <w:jc w:val="both"/>
      </w:pPr>
      <w:r>
        <w:rPr>
          <w:rFonts w:ascii="Arial" w:cs="Arial" w:eastAsia="Arial" w:hAnsi="Arial"/>
          <w:b/>
          <w:bCs/>
          <w:sz w:val="24"/>
          <w:szCs w:val="24"/>
        </w:rPr>
        <w:t xml:space="preserve">Электронный кошелек</w:t>
      </w:r>
      <w:r>
        <w:rPr>
          <w:rFonts w:ascii="Arial" w:cs="Arial" w:eastAsia="Arial" w:hAnsi="Arial"/>
          <w:sz w:val="24"/>
          <w:szCs w:val="24"/>
        </w:rPr>
        <w:t xml:space="preserve"> - хранилище электронных денег, представляющее собой программное обеспечение или иное программно-техническое устройство, в котором имеется запись о сумме электронных денег и их принадлежности держателю.</w:t>
      </w:r>
    </w:p>
    <w:p>
      <w:pPr>
        <w:spacing w:after="60"/>
        <w:ind w:firstLine="567"/>
        <w:jc w:val="both"/>
      </w:pPr>
      <w:r>
        <w:rPr>
          <w:rFonts w:ascii="Arial" w:cs="Arial" w:eastAsia="Arial" w:hAnsi="Arial"/>
          <w:b/>
          <w:bCs/>
          <w:sz w:val="24"/>
          <w:szCs w:val="24"/>
        </w:rPr>
        <w:t xml:space="preserve">Эмитент международных электронных денег</w:t>
      </w:r>
      <w:r>
        <w:rPr>
          <w:rFonts w:ascii="Arial" w:cs="Arial" w:eastAsia="Arial" w:hAnsi="Arial"/>
          <w:sz w:val="24"/>
          <w:szCs w:val="24"/>
        </w:rPr>
        <w:t xml:space="preserve"> - банк или юридическое лицо, нерезидент Кыргызской Республики, осуществляющий/ее деятельность в соответствии с законодательством страны происхождения, который/ое осуществляет выпуск (учет) международных электронных денег за пределами территории Кыргызской Республики.</w:t>
      </w:r>
    </w:p>
    <w:p>
      <w:pPr>
        <w:spacing w:after="60"/>
        <w:ind w:firstLine="567"/>
        <w:jc w:val="both"/>
      </w:pPr>
      <w:r>
        <w:rPr>
          <w:rFonts w:ascii="Arial" w:cs="Arial" w:eastAsia="Arial" w:hAnsi="Arial"/>
          <w:b/>
          <w:bCs/>
          <w:sz w:val="24"/>
          <w:szCs w:val="24"/>
        </w:rPr>
        <w:t xml:space="preserve">Эмитент электронных денег (эмитент)</w:t>
      </w:r>
      <w:r>
        <w:rPr>
          <w:rFonts w:ascii="Arial" w:cs="Arial" w:eastAsia="Arial" w:hAnsi="Arial"/>
          <w:sz w:val="24"/>
          <w:szCs w:val="24"/>
        </w:rPr>
        <w:t xml:space="preserve"> - Национальный банк Кыргызской Республики (далее - Национальный банк), а также банк, имеющий лицензию на право выпуска электронных денег, принимающий на себя безусловное и безотзывное обязательство по погашению электронных денег держателям, предъявляющим электронные деньги к обналичиванию.</w:t>
      </w:r>
    </w:p>
    <w:p>
      <w:pPr>
        <w:spacing w:after="60"/>
        <w:ind w:firstLine="567"/>
        <w:jc w:val="both"/>
      </w:pPr>
      <w:r>
        <w:rPr>
          <w:rFonts w:ascii="Arial" w:cs="Arial" w:eastAsia="Arial" w:hAnsi="Arial"/>
          <w:b/>
          <w:bCs/>
          <w:sz w:val="24"/>
          <w:szCs w:val="24"/>
        </w:rPr>
        <w:t xml:space="preserve">Неидентифицированный электронный кошелек</w:t>
      </w:r>
      <w:r>
        <w:rPr>
          <w:rFonts w:ascii="Arial" w:cs="Arial" w:eastAsia="Arial" w:hAnsi="Arial"/>
          <w:sz w:val="24"/>
          <w:szCs w:val="24"/>
        </w:rPr>
        <w:t xml:space="preserve"> - электронный кошелек, открываемый физическим лицом удаленно/дистанционно с помощью электронных устройств (мобильные телефоны, смартфоны и другие электронные устройства) на основании публичной оферты и в соответствии с требованиями эмитента, действующий на территории Кыргызской Республики в рамках ограничений, установленных в пункте 31 настоящего Положения.</w:t>
      </w:r>
    </w:p>
    <w:p>
      <w:pPr>
        <w:spacing w:after="60"/>
        <w:ind w:firstLine="567"/>
        <w:jc w:val="both"/>
      </w:pPr>
      <w:r>
        <w:rPr>
          <w:rFonts w:ascii="Arial" w:cs="Arial" w:eastAsia="Arial" w:hAnsi="Arial"/>
          <w:b/>
          <w:bCs/>
          <w:sz w:val="24"/>
          <w:szCs w:val="24"/>
        </w:rPr>
        <w:t xml:space="preserve">Оператор международной системы электронных денег</w:t>
      </w:r>
      <w:r>
        <w:rPr>
          <w:rFonts w:ascii="Arial" w:cs="Arial" w:eastAsia="Arial" w:hAnsi="Arial"/>
          <w:sz w:val="24"/>
          <w:szCs w:val="24"/>
        </w:rPr>
        <w:t xml:space="preserve"> - юридическое лицо, осуществляющее деятельность в рамках законодательства страны происхождения, который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международными электронными деньгами/электронными денежными средствами за пределами территории Кыргызской Республики.</w:t>
      </w:r>
    </w:p>
    <w:p>
      <w:pPr>
        <w:spacing w:after="60"/>
        <w:ind w:firstLine="567"/>
        <w:jc w:val="both"/>
      </w:pPr>
      <w:r>
        <w:rPr>
          <w:rFonts w:ascii="Arial" w:cs="Arial" w:eastAsia="Arial" w:hAnsi="Arial"/>
          <w:b/>
          <w:bCs/>
          <w:sz w:val="24"/>
          <w:szCs w:val="24"/>
        </w:rPr>
        <w:t xml:space="preserve">Лицевой счет</w:t>
      </w:r>
      <w:r>
        <w:rPr>
          <w:rFonts w:ascii="Arial" w:cs="Arial" w:eastAsia="Arial" w:hAnsi="Arial"/>
          <w:sz w:val="24"/>
          <w:szCs w:val="24"/>
        </w:rPr>
        <w:t xml:space="preserve"> - счет в виде комбинации цифр и/или знаков, открываемый у поставщиков товаров и услуг, служащий для учета объема предоставляемых товаров и оказываемых услуг абонентам (пользователям).</w:t>
      </w:r>
    </w:p>
    <w:p>
      <w:pPr>
        <w:spacing w:after="60"/>
        <w:ind w:firstLine="567"/>
        <w:jc w:val="both"/>
      </w:pPr>
      <w:r>
        <w:rPr>
          <w:rFonts w:ascii="Arial" w:cs="Arial" w:eastAsia="Arial" w:hAnsi="Arial"/>
          <w:b/>
          <w:bCs/>
          <w:sz w:val="24"/>
          <w:szCs w:val="24"/>
        </w:rPr>
        <w:t xml:space="preserve">Абонент (пользователь)</w:t>
      </w:r>
      <w:r>
        <w:rPr>
          <w:rFonts w:ascii="Arial" w:cs="Arial" w:eastAsia="Arial" w:hAnsi="Arial"/>
          <w:sz w:val="24"/>
          <w:szCs w:val="24"/>
        </w:rPr>
        <w:t xml:space="preserve"> - физическое или юридическое лицо, получающее товары и услуги от поставщика товаров и услуг.</w:t>
      </w:r>
    </w:p>
    <w:p>
      <w:pPr>
        <w:spacing w:after="120"/>
        <w:jc w:val="both"/>
      </w:pPr>
      <w:r>
        <w:rPr>
          <w:rFonts w:ascii="Arial" w:cs="Arial" w:eastAsia="Arial" w:hAnsi="Arial"/>
          <w:b/>
          <w:bCs/>
          <w:sz w:val="24"/>
          <w:szCs w:val="24"/>
        </w:rPr>
        <w:t xml:space="preserve">Локальная система расчетов электронными деньгами</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обращение электронных денег, выпущенных на территории Кыргызской Республики.</w:t>
      </w:r>
    </w:p>
    <w:p>
      <w:pPr>
        <w:spacing w:after="120"/>
        <w:jc w:val="both"/>
      </w:pPr>
      <w:r>
        <w:rPr>
          <w:rFonts w:ascii="Arial" w:cs="Arial" w:eastAsia="Arial" w:hAnsi="Arial"/>
          <w:b/>
          <w:bCs/>
          <w:sz w:val="24"/>
          <w:szCs w:val="24"/>
        </w:rPr>
        <w:t xml:space="preserve">Оператор национальной платежной системы расчетов электронными деньгами</w:t>
      </w:r>
      <w:r>
        <w:rPr>
          <w:rFonts w:ascii="Arial" w:cs="Arial" w:eastAsia="Arial" w:hAnsi="Arial"/>
          <w:sz w:val="24"/>
          <w:szCs w:val="24"/>
        </w:rPr>
        <w:t xml:space="preserve"> - юридическое лицо-резидент Кыргызской Республики, имеющее лицензию оператора платежной системы, на базе которого создается "единое окно", через которое осуществляется интеграция между всеми локальными системами расчетов электронными деньгами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gqmsybxhsa11u9n32cteg">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 </w:t>
      </w:r>
      <w:hyperlink w:history="1" r:id="rIdocaugehczkjkuzvuqn2_m">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 </w:t>
      </w:r>
      <w:hyperlink w:history="1" r:id="rId__o8gxx8rn3ms-nkcuoah">
        <w:r>
          <w:rPr>
            <w:rFonts w:ascii="Arial" w:cs="Arial" w:eastAsia="Arial" w:hAnsi="Arial"/>
            <w:i/>
            <w:iCs/>
            <w:color w:val="1D4ED8"/>
            <w:sz w:val="24"/>
            <w:szCs w:val="24"/>
            <w:u w:val="single"/>
          </w:rPr>
          <w:t xml:space="preserve">27 февраля 2019 года № 2019-П-14/9-4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предоставления услуг с использованием электронных денег</w:t>
      </w:r>
    </w:p>
    <w:p>
      <w:pPr>
        <w:spacing w:after="60"/>
        <w:ind w:firstLine="567"/>
        <w:jc w:val="both"/>
      </w:pPr>
      <w:r>
        <w:rPr>
          <w:rFonts w:ascii="Arial" w:cs="Arial" w:eastAsia="Arial" w:hAnsi="Arial"/>
          <w:sz w:val="24"/>
          <w:szCs w:val="24"/>
        </w:rPr>
        <w:t xml:space="preserve">7. Электронные деньги, выпущенные на территории Кыргызской Республики, должны быть номинированы (выражены) в национальной валюте.</w:t>
      </w:r>
    </w:p>
    <w:p>
      <w:pPr>
        <w:spacing w:after="60"/>
        <w:ind w:firstLine="567"/>
        <w:jc w:val="both"/>
      </w:pPr>
      <w:r>
        <w:rPr>
          <w:rFonts w:ascii="Arial" w:cs="Arial" w:eastAsia="Arial" w:hAnsi="Arial"/>
          <w:sz w:val="24"/>
          <w:szCs w:val="24"/>
        </w:rPr>
        <w:t xml:space="preserve">Банку запрещается выпускать на территории Кыргызской Республики электронные деньги, номинированные в иностранной валюте. Выпуск международных электронных денег, номинированных в национальной валюте Кыргызской Республики (сом) за пределами Кыргызской Республики, запрещается. Распространение международных электронных денег, выпущенных нерезидентами Кыргызской Республики, на территории Кыргызской Республики осуществляется банком. Банк вправе привлекать агентов для последующего распространения международных электронных денег в соответствии с </w:t>
      </w:r>
      <w:hyperlink w:history="1" r:id="rIdkvlsoli9hnrqtyzdrhs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платежной системе Кыргызской Республики" и </w:t>
      </w:r>
      <w:r>
        <w:rPr>
          <w:rFonts w:ascii="Arial" w:cs="Arial" w:eastAsia="Arial" w:hAnsi="Arial"/>
          <w:sz w:val="24"/>
          <w:szCs w:val="24"/>
        </w:rPr>
        <w:t xml:space="preserve">параграфа 5</w:t>
      </w:r>
      <w:r>
        <w:rPr>
          <w:rFonts w:ascii="Arial" w:cs="Arial" w:eastAsia="Arial" w:hAnsi="Arial"/>
          <w:sz w:val="24"/>
          <w:szCs w:val="24"/>
        </w:rPr>
        <w:t xml:space="preserve"> Главы 3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qgqq3z2sopqdkox44bli">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7-1. Системы расчетов электронными деньгами должны иметь возможность осуществления совместного сервиса, связанного с проведением операций посредством электронных денег, способность к взаимному обмену информацией при проведении платежей и расчетов и использованию данной информации на территории Кыргызской Республики.</w:t>
      </w:r>
    </w:p>
    <w:p>
      <w:pPr>
        <w:spacing w:after="120"/>
        <w:jc w:val="both"/>
      </w:pPr>
      <w:r>
        <w:rPr>
          <w:rFonts w:ascii="Arial" w:cs="Arial" w:eastAsia="Arial" w:hAnsi="Arial"/>
          <w:sz w:val="24"/>
          <w:szCs w:val="24"/>
        </w:rPr>
        <w:t xml:space="preserve">Программные и технические средства, применяемые в локальных системах расчетов электронными деньгами на территории Кыргызской Республики, должны иметь функциональную совместимость с аппаратно-программным комплексом оператора национальной платежной системы расчетов электронными деньгами при проведении платежей и расчетов.</w:t>
      </w:r>
    </w:p>
    <w:p>
      <w:pPr>
        <w:spacing w:after="120"/>
        <w:jc w:val="both"/>
      </w:pPr>
      <w:r>
        <w:rPr>
          <w:rFonts w:ascii="Arial" w:cs="Arial" w:eastAsia="Arial" w:hAnsi="Arial"/>
          <w:sz w:val="24"/>
          <w:szCs w:val="24"/>
        </w:rPr>
        <w:t xml:space="preserve">Внимание! В соответствии с п.3 </w:t>
      </w:r>
      <w:hyperlink w:history="1" r:id="rId3habi3wxq27iqw4pvdke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февраля 2019 года № 2019-П-14/9-4 настоящий пункт вступает в силу с 1 января 2021 года.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8-3ht2l_bff6d1wks8iz">
        <w:r>
          <w:rPr>
            <w:rFonts w:ascii="Arial" w:cs="Arial" w:eastAsia="Arial" w:hAnsi="Arial"/>
            <w:color w:val="1D4ED8"/>
            <w:sz w:val="24"/>
            <w:szCs w:val="24"/>
            <w:u w:val="single"/>
          </w:rPr>
          <w:t xml:space="preserve">27 февраля 2019 года № 2019-П-14/9-4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С использованием электронных денег можно проводить операции по приобретению товаров и услуг у акцептантов, погашать электронные деньги и переводить электронные деньги с идентифицированного электронного кошелька, предоплаченной карты и/или виртуальной предоплаченной карты держателя. При международных/трансграничных переводах электронных денег держатели электронных кошельков, предоплаченных карт и/или виртуальных предоплаченных карт должны быть идентифицированными.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ewhuzuilfqgsfu1dvr1l">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Платежи с лицевого счета абонента (пользователя) поставщика товаров и услуг, осуществляются только за услуги самого поставщика товаров и услуг в рамках его основной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ykcodpce84dzoyjd7vxe">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Пополнение электронного кошелька, предоплаченной карты и/или виртуальной предоплаченной карты держателя может осуществляться посредством использования только следующих способов:</w:t>
      </w:r>
    </w:p>
    <w:p>
      <w:pPr>
        <w:spacing w:after="60"/>
        <w:ind w:firstLine="567"/>
        <w:jc w:val="both"/>
      </w:pPr>
      <w:r>
        <w:rPr>
          <w:rFonts w:ascii="Arial" w:cs="Arial" w:eastAsia="Arial" w:hAnsi="Arial"/>
          <w:sz w:val="24"/>
          <w:szCs w:val="24"/>
        </w:rPr>
        <w:t xml:space="preserve">- перечисления с банковского счета;</w:t>
      </w:r>
    </w:p>
    <w:p>
      <w:pPr>
        <w:spacing w:after="60"/>
        <w:ind w:firstLine="567"/>
        <w:jc w:val="both"/>
      </w:pPr>
      <w:r>
        <w:rPr>
          <w:rFonts w:ascii="Arial" w:cs="Arial" w:eastAsia="Arial" w:hAnsi="Arial"/>
          <w:sz w:val="24"/>
          <w:szCs w:val="24"/>
        </w:rPr>
        <w:t xml:space="preserve">- перевода с идентифицированного электронного кошелька, предоплаченной карты и/или виртуальной предоплаченной карты;</w:t>
      </w:r>
    </w:p>
    <w:p>
      <w:pPr>
        <w:spacing w:after="60"/>
        <w:ind w:firstLine="567"/>
        <w:jc w:val="both"/>
      </w:pPr>
      <w:r>
        <w:rPr>
          <w:rFonts w:ascii="Arial" w:cs="Arial" w:eastAsia="Arial" w:hAnsi="Arial"/>
          <w:sz w:val="24"/>
          <w:szCs w:val="24"/>
        </w:rPr>
        <w:t xml:space="preserve">- денежного перевода без открытия банковского счета через системы денежных переводов, прошедших регистрацию в Национальном банке;</w:t>
      </w:r>
    </w:p>
    <w:p>
      <w:pPr>
        <w:spacing w:after="60"/>
        <w:ind w:firstLine="567"/>
        <w:jc w:val="both"/>
      </w:pPr>
      <w:r>
        <w:rPr>
          <w:rFonts w:ascii="Arial" w:cs="Arial" w:eastAsia="Arial" w:hAnsi="Arial"/>
          <w:sz w:val="24"/>
          <w:szCs w:val="24"/>
        </w:rPr>
        <w:t xml:space="preserve">- внесения наличных денежных средств в автоматизированные терминалы самообслуживания (cash-in), в кассы банка-эмитента, а также агентам коммерческих банков и/или агентам платежных организаций.</w:t>
      </w:r>
    </w:p>
    <w:p>
      <w:pPr>
        <w:spacing w:after="60"/>
        <w:ind w:firstLine="567"/>
        <w:jc w:val="both"/>
      </w:pPr>
      <w:r>
        <w:rPr>
          <w:rFonts w:ascii="Arial" w:cs="Arial" w:eastAsia="Arial" w:hAnsi="Arial"/>
          <w:sz w:val="24"/>
          <w:szCs w:val="24"/>
        </w:rPr>
        <w:t xml:space="preserve">Установленный в настоящем пункте перечень способов пополнения является исчерпывающим, не предусматривающим использование иных способов пополнения.</w:t>
      </w:r>
    </w:p>
    <w:p>
      <w:pPr>
        <w:spacing w:after="60"/>
        <w:ind w:firstLine="567"/>
        <w:jc w:val="both"/>
      </w:pPr>
      <w:r>
        <w:rPr>
          <w:rFonts w:ascii="Arial" w:cs="Arial" w:eastAsia="Arial" w:hAnsi="Arial"/>
          <w:sz w:val="24"/>
          <w:szCs w:val="24"/>
        </w:rPr>
        <w:t xml:space="preserve">При этом пополнение электронного кошелька, предоплаченной карты и/или виртуальной предоплаченной карты держателя, являющееся следствием уменьшения обязательств поставщика товаров и услуг перед своим абонентом (пользователем), не может осуществляться как самим поставщиком товаров и услуг, так и им по доверенности и/или поручению абонента (пользователя) и/или его доверенного лица, а также иными лицами, связанными напрямую или опосредованно договорными отношениями с поставщиком товаров и услуг.</w:t>
      </w:r>
    </w:p>
    <w:p>
      <w:pPr>
        <w:spacing w:after="60"/>
        <w:ind w:firstLine="567"/>
        <w:jc w:val="both"/>
      </w:pPr>
      <w:r>
        <w:rPr>
          <w:rFonts w:ascii="Arial" w:cs="Arial" w:eastAsia="Arial" w:hAnsi="Arial"/>
          <w:sz w:val="24"/>
          <w:szCs w:val="24"/>
        </w:rPr>
        <w:t xml:space="preserve">При пополнении электронного кошелька, предоплаченной карты и/или виртуальной предоплаченной карты держателя промежуток времени между передачей или переводом наличных, или безналичных денежных средств лицом, пополняющим электронный кошелек, предоплаченную карту и/или виртуальную предоплаченную карту держателя, и поступлением электронных денег на электронный кошелек предоплаченную карту и/или виртуальную предоплаченную карту держателя, не должен превышать 1 календарный день.</w:t>
      </w:r>
    </w:p>
    <w:p>
      <w:pPr>
        <w:spacing w:after="60"/>
        <w:ind w:firstLine="567"/>
        <w:jc w:val="both"/>
      </w:pPr>
      <w:r>
        <w:rPr>
          <w:rFonts w:ascii="Arial" w:cs="Arial" w:eastAsia="Arial" w:hAnsi="Arial"/>
          <w:sz w:val="24"/>
          <w:szCs w:val="24"/>
        </w:rPr>
        <w:t xml:space="preserve">Не допускается пополнение электронного кошелька, предоплаченной карты и/или виртуальной предоплаченной карты держателя с лицевого счета абонента (пользователя) поставщика товаров и услуг, в том числе и путем возврата аванса за товары и услуги с зачислением возвращаемого аванса на электронный кошелек, предоплаченную карту и/или виртуальную предоплаченную карту.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oytx_ceyvxpvk2ypodhe">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Банк, агент заключает с акцептантами договор о приеме электронных денег в обеспечение оплаты платежей за товары и услуги акцептантов, устанавливает перечень услуг с использованием электронных денег. Права и ответственность сторон, а также порядок осуществления взаиморасчетов между ними устанавливаются договором.</w:t>
      </w:r>
    </w:p>
    <w:p>
      <w:pPr>
        <w:spacing w:after="60"/>
        <w:ind w:firstLine="567"/>
        <w:jc w:val="both"/>
      </w:pPr>
      <w:r>
        <w:rPr>
          <w:rFonts w:ascii="Arial" w:cs="Arial" w:eastAsia="Arial" w:hAnsi="Arial"/>
          <w:sz w:val="24"/>
          <w:szCs w:val="24"/>
        </w:rPr>
        <w:t xml:space="preserve">11. Выплаты по заработной плате можно переводить на идентифицированные электронные кошельки только для коммерческих организаций при условии наличия договора банка, оператора с данной коммерческой организацией и соблюдения законодательства Кыргызской Республики.</w:t>
      </w:r>
    </w:p>
    <w:p>
      <w:pPr>
        <w:spacing w:after="60"/>
        <w:ind w:firstLine="567"/>
        <w:jc w:val="both"/>
      </w:pPr>
      <w:r>
        <w:rPr>
          <w:rFonts w:ascii="Arial" w:cs="Arial" w:eastAsia="Arial" w:hAnsi="Arial"/>
          <w:sz w:val="24"/>
          <w:szCs w:val="24"/>
        </w:rPr>
        <w:t xml:space="preserve">12. При заключении договора с юридическим лицом на право использования электронных денег при проведении платежей и расчетов в рамках норм настоящего Положения, электронный кошелек открывается на юридическое лицо с указанием уполномоченного лица, имеющего права распоряжения данным электронным кошельком в соответствии с учредительными документами, надлежащим образом оформленными внутренними приказами, распоряжениями или по доверенности.</w:t>
      </w:r>
    </w:p>
    <w:p>
      <w:pPr>
        <w:spacing w:after="60"/>
        <w:ind w:firstLine="567"/>
        <w:jc w:val="both"/>
      </w:pPr>
      <w:r>
        <w:rPr>
          <w:rFonts w:ascii="Arial" w:cs="Arial" w:eastAsia="Arial" w:hAnsi="Arial"/>
          <w:sz w:val="24"/>
          <w:szCs w:val="24"/>
        </w:rPr>
        <w:t xml:space="preserve">13. Банк, оператор должен принять меры для обеспечения безопасности при проведении регистрации держателя в системе электронных денег, с обязательной его аутентификацией.</w:t>
      </w:r>
    </w:p>
    <w:p>
      <w:pPr>
        <w:spacing w:after="60"/>
        <w:ind w:firstLine="567"/>
        <w:jc w:val="both"/>
      </w:pPr>
      <w:r>
        <w:rPr>
          <w:rFonts w:ascii="Arial" w:cs="Arial" w:eastAsia="Arial" w:hAnsi="Arial"/>
          <w:sz w:val="24"/>
          <w:szCs w:val="24"/>
        </w:rPr>
        <w:t xml:space="preserve">14. Каждый зарегистрированный электронный кошелек должен иметь идентификационный номер в системе электронных денег.</w:t>
      </w:r>
    </w:p>
    <w:p>
      <w:pPr>
        <w:spacing w:after="60"/>
        <w:ind w:firstLine="567"/>
        <w:jc w:val="both"/>
      </w:pPr>
      <w:r>
        <w:rPr>
          <w:rFonts w:ascii="Arial" w:cs="Arial" w:eastAsia="Arial" w:hAnsi="Arial"/>
          <w:sz w:val="24"/>
          <w:szCs w:val="24"/>
        </w:rPr>
        <w:t xml:space="preserve">15. Любая операция по электронным деньгам должна подтверждаться, в том числе чеком об оплате или любым другим, подтверждающим оплату, документом, смс-сообщением, сообщением на электронную почту держателя электронного кошелька, содержащим все реквизиты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 1. Основные требования к банку, выпускающему электронные деньги</w:t>
      </w:r>
    </w:p>
    <w:p>
      <w:pPr>
        <w:spacing w:after="60"/>
        <w:ind w:firstLine="567"/>
        <w:jc w:val="both"/>
      </w:pPr>
      <w:r>
        <w:rPr>
          <w:rFonts w:ascii="Arial" w:cs="Arial" w:eastAsia="Arial" w:hAnsi="Arial"/>
          <w:sz w:val="24"/>
          <w:szCs w:val="24"/>
        </w:rPr>
        <w:t xml:space="preserve">16. Эмитентом электронных денег в Кыргызской Республике является банк, осуществляющий выпуск электронных денег и принимающий на себя безусловное и безотзывное обязательство по погашению электронных денег держателям, предъявляющим электронные деньги к погашению.</w:t>
      </w:r>
    </w:p>
    <w:p>
      <w:pPr>
        <w:spacing w:after="60"/>
        <w:ind w:firstLine="567"/>
        <w:jc w:val="both"/>
      </w:pPr>
      <w:r>
        <w:rPr>
          <w:rFonts w:ascii="Arial" w:cs="Arial" w:eastAsia="Arial" w:hAnsi="Arial"/>
          <w:i/>
          <w:iCs/>
          <w:sz w:val="24"/>
          <w:szCs w:val="24"/>
        </w:rPr>
        <w:t xml:space="preserve">17. (Утратил силу в соответствии с </w:t>
      </w:r>
      <w:hyperlink w:history="1" r:id="rIdkcyblmqp3x3eumjl9xax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w:t>
      </w:r>
    </w:p>
    <w:p>
      <w:pPr>
        <w:spacing w:after="60"/>
        <w:ind w:firstLine="567"/>
        <w:jc w:val="both"/>
      </w:pPr>
      <w:r>
        <w:rPr>
          <w:rFonts w:ascii="Arial" w:cs="Arial" w:eastAsia="Arial" w:hAnsi="Arial"/>
          <w:sz w:val="24"/>
          <w:szCs w:val="24"/>
        </w:rPr>
        <w:t xml:space="preserve">18. Банк разрабатывает правила, регулирующие выпуск, распространение, обработку и погашение электронных денег.</w:t>
      </w:r>
    </w:p>
    <w:p>
      <w:pPr>
        <w:spacing w:after="60"/>
        <w:ind w:firstLine="567"/>
        <w:jc w:val="both"/>
      </w:pPr>
      <w:r>
        <w:rPr>
          <w:rFonts w:ascii="Arial" w:cs="Arial" w:eastAsia="Arial" w:hAnsi="Arial"/>
          <w:sz w:val="24"/>
          <w:szCs w:val="24"/>
        </w:rPr>
        <w:t xml:space="preserve">19. Банк исполняет функции оператора электронных денег самостоятельно и осуществляет процессинг электронных денег, или заключает договор с оператором на выполнение им функций процессинга в соответствии с требованиями и правилами системы расчетов с использованием электронных денег и настоящим Положением.</w:t>
      </w:r>
    </w:p>
    <w:p>
      <w:pPr>
        <w:spacing w:after="60"/>
        <w:ind w:firstLine="567"/>
        <w:jc w:val="both"/>
      </w:pPr>
      <w:r>
        <w:rPr>
          <w:rFonts w:ascii="Arial" w:cs="Arial" w:eastAsia="Arial" w:hAnsi="Arial"/>
          <w:sz w:val="24"/>
          <w:szCs w:val="24"/>
        </w:rPr>
        <w:t xml:space="preserve">20. Договор между банком и оператором должен содержать следующие обязательные условия:</w:t>
      </w:r>
    </w:p>
    <w:p>
      <w:pPr>
        <w:spacing w:after="60"/>
        <w:ind w:firstLine="567"/>
        <w:jc w:val="both"/>
      </w:pPr>
      <w:r>
        <w:rPr>
          <w:rFonts w:ascii="Arial" w:cs="Arial" w:eastAsia="Arial" w:hAnsi="Arial"/>
          <w:sz w:val="24"/>
          <w:szCs w:val="24"/>
        </w:rPr>
        <w:t xml:space="preserve">- открытие оператором страхового депозита у банка, размер которого определяется в договоре между сторонами, или наличие банковской гарантии, на условиях, определенных в договоре между ними, и рассматриваемых как резерв под возможные риски и потери;</w:t>
      </w:r>
    </w:p>
    <w:p>
      <w:pPr>
        <w:spacing w:after="60"/>
        <w:ind w:firstLine="567"/>
        <w:jc w:val="both"/>
      </w:pPr>
      <w:r>
        <w:rPr>
          <w:rFonts w:ascii="Arial" w:cs="Arial" w:eastAsia="Arial" w:hAnsi="Arial"/>
          <w:sz w:val="24"/>
          <w:szCs w:val="24"/>
        </w:rPr>
        <w:t xml:space="preserve">- условия и ответственность сторон по выполнению обязательств при возникновении ситуаций, связанных с прекращением деятельности сторон (отзыв лицензии, банкротство и др.), нештатных ситуаций по работе с системой, а также форс-мажорных ситуаций;</w:t>
      </w:r>
    </w:p>
    <w:p>
      <w:pPr>
        <w:spacing w:after="60"/>
        <w:ind w:firstLine="567"/>
        <w:jc w:val="both"/>
      </w:pPr>
      <w:r>
        <w:rPr>
          <w:rFonts w:ascii="Arial" w:cs="Arial" w:eastAsia="Arial" w:hAnsi="Arial"/>
          <w:sz w:val="24"/>
          <w:szCs w:val="24"/>
        </w:rPr>
        <w:t xml:space="preserve">- распределение обязанностей и прав доступа к системе электронных денег;</w:t>
      </w:r>
    </w:p>
    <w:p>
      <w:pPr>
        <w:spacing w:after="60"/>
        <w:ind w:firstLine="567"/>
        <w:jc w:val="both"/>
      </w:pPr>
      <w:r>
        <w:rPr>
          <w:rFonts w:ascii="Arial" w:cs="Arial" w:eastAsia="Arial" w:hAnsi="Arial"/>
          <w:sz w:val="24"/>
          <w:szCs w:val="24"/>
        </w:rPr>
        <w:t xml:space="preserve">- условия и ответственность сторон при работе с системой, при претензионной работе.</w:t>
      </w:r>
    </w:p>
    <w:p>
      <w:pPr>
        <w:spacing w:after="60"/>
        <w:ind w:firstLine="567"/>
        <w:jc w:val="both"/>
      </w:pPr>
      <w:r>
        <w:rPr>
          <w:rFonts w:ascii="Arial" w:cs="Arial" w:eastAsia="Arial" w:hAnsi="Arial"/>
          <w:sz w:val="24"/>
          <w:szCs w:val="24"/>
        </w:rPr>
        <w:t xml:space="preserve">21. Банк должен разработать внутренние правила или процедуры для обеспечения бесперебойного функционирования своей информационной системы и безопасности проведения транзакций. Программные и технические средства, применяемые в системах расчетов с использованием электронных денег, должны соответствовать требованиям Национального банка по обеспечению информационной безопасности.</w:t>
      </w:r>
    </w:p>
    <w:p>
      <w:pPr>
        <w:spacing w:after="60"/>
        <w:ind w:firstLine="567"/>
        <w:jc w:val="both"/>
      </w:pPr>
      <w:r>
        <w:rPr>
          <w:rFonts w:ascii="Arial" w:cs="Arial" w:eastAsia="Arial" w:hAnsi="Arial"/>
          <w:sz w:val="24"/>
          <w:szCs w:val="24"/>
        </w:rPr>
        <w:t xml:space="preserve">22. Банк обязан обеспечивать конфиденциальность и хранение данных о держателях электронных денег и осуществленных операциях с использованием электронных денег. Сведения о держателях электронных денег и операциях по их электронным деньгам могут предоставляться третьим лицам только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22-1. Банку запрещается начисление и выплата процентов на остаток электронных денег на неидентифицированные электронные кошельки.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zu3o2tmv_2de3ih8xdkm">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22-2. Банк вправе предусматривать программы лояльности (бонусов) и выплаты начисленных бонусов на идентифицированные электронные кошельки в национальной валюте, согласно договору, с держателями пользователями электронных кошельков.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g_fbdhshvxsomc2fkpq">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2.Основные требования к оператору</w:t>
      </w:r>
    </w:p>
    <w:p>
      <w:pPr>
        <w:spacing w:after="60"/>
        <w:ind w:firstLine="567"/>
        <w:jc w:val="both"/>
      </w:pPr>
      <w:r>
        <w:rPr>
          <w:rFonts w:ascii="Arial" w:cs="Arial" w:eastAsia="Arial" w:hAnsi="Arial"/>
          <w:sz w:val="24"/>
          <w:szCs w:val="24"/>
        </w:rPr>
        <w:t xml:space="preserve">23. Оператор осуществляет свою деятельность на основании лицензии, выдаваемой Национальным банком в соответствии с законодательством Кыргызской Республики, и требованиями, установленными в нормативных правовых актах Национального банка.</w:t>
      </w:r>
    </w:p>
    <w:p>
      <w:pPr>
        <w:spacing w:after="60"/>
        <w:ind w:firstLine="567"/>
        <w:jc w:val="both"/>
      </w:pPr>
      <w:r>
        <w:rPr>
          <w:rFonts w:ascii="Arial" w:cs="Arial" w:eastAsia="Arial" w:hAnsi="Arial"/>
          <w:sz w:val="24"/>
          <w:szCs w:val="24"/>
        </w:rPr>
        <w:t xml:space="preserve">24. Для выполнения функций процессинга по операциям с электронными деньгами оператор должен заключить договор с банком.</w:t>
      </w:r>
    </w:p>
    <w:p>
      <w:pPr>
        <w:spacing w:after="60"/>
        <w:ind w:firstLine="567"/>
        <w:jc w:val="both"/>
      </w:pPr>
      <w:r>
        <w:rPr>
          <w:rFonts w:ascii="Arial" w:cs="Arial" w:eastAsia="Arial" w:hAnsi="Arial"/>
          <w:sz w:val="24"/>
          <w:szCs w:val="24"/>
        </w:rPr>
        <w:t xml:space="preserve">25. В случае, если оператор заключает договора с несколькими банками, то оператор в своей информационной системе должен вести учет электронных кошельков по каждому банку отдельно.</w:t>
      </w:r>
    </w:p>
    <w:p>
      <w:pPr>
        <w:spacing w:after="60"/>
        <w:ind w:firstLine="567"/>
        <w:jc w:val="both"/>
      </w:pPr>
      <w:r>
        <w:rPr>
          <w:rFonts w:ascii="Arial" w:cs="Arial" w:eastAsia="Arial" w:hAnsi="Arial"/>
          <w:sz w:val="24"/>
          <w:szCs w:val="24"/>
        </w:rPr>
        <w:t xml:space="preserve">26. Оператор должен обеспечивать конфиденциальность и хранение данных о держателях электронных денег и проведенных операциях с использованием электронных денег. Сведения о держателях электронных денег и операциях по их электронным деньгам могут предоставляться третьим лицам только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26-1. Оператор системы расчетов электронными деньгами обязан обеспечить механизм хранения остатка электронных денег только на программном обеспечении и/или программно-техническом устройстве для хранения электронных денег (в том числе электронный кошелек, предоплаченная карта и/или виртуальная предоплаченная карта) держателя с возможностью осуществления платежей за товары и услуги непосредственно с использованием данного программного обеспечения и/или программно-технического устройства.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uxdwnzr-yhcv7r3r7aie">
        <w:r>
          <w:rPr>
            <w:rFonts w:ascii="Arial" w:cs="Arial" w:eastAsia="Arial" w:hAnsi="Arial"/>
            <w:i/>
            <w:iCs/>
            <w:color w:val="1D4ED8"/>
            <w:sz w:val="24"/>
            <w:szCs w:val="24"/>
            <w:u w:val="single"/>
          </w:rPr>
          <w:t xml:space="preserve">14 февраля 2018 года № 2018-П-14/5-5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Оператор несет ответственность за безопасность и надежность проведения транзакций с использованием электронных денег.</w:t>
      </w:r>
    </w:p>
    <w:p>
      <w:pPr>
        <w:spacing w:after="60"/>
        <w:ind w:firstLine="567"/>
        <w:jc w:val="both"/>
      </w:pPr>
      <w:r>
        <w:rPr>
          <w:rFonts w:ascii="Arial" w:cs="Arial" w:eastAsia="Arial" w:hAnsi="Arial"/>
          <w:sz w:val="24"/>
          <w:szCs w:val="24"/>
        </w:rPr>
        <w:t xml:space="preserve">28. Оператор должен разработать внутренние правила и процедуры для обеспечения бесперебойного функционирования своей информационной системы и безопасности проведения платежей.</w:t>
      </w:r>
    </w:p>
    <w:p>
      <w:pPr>
        <w:spacing w:after="60"/>
        <w:ind w:firstLine="567"/>
        <w:jc w:val="both"/>
      </w:pPr>
      <w:r>
        <w:rPr>
          <w:rFonts w:ascii="Arial" w:cs="Arial" w:eastAsia="Arial" w:hAnsi="Arial"/>
          <w:sz w:val="24"/>
          <w:szCs w:val="24"/>
        </w:rPr>
        <w:t xml:space="preserve">29. Оператор должен установить в своей информационной системе лимиты для электронных кошельков, выполнять условия по учету электронных денег в соответствии с условиями договора с банком, настоящим Положением и другими нормативными правовыми актами Национального банка.</w:t>
      </w:r>
    </w:p>
    <w:p>
      <w:pPr>
        <w:spacing w:after="200" w:before="200"/>
        <w:jc w:val="center"/>
      </w:pPr>
      <w:r>
        <w:rPr>
          <w:rFonts w:ascii="Arial" w:cs="Arial" w:eastAsia="Arial" w:hAnsi="Arial"/>
          <w:b/>
          <w:bCs/>
          <w:sz w:val="24"/>
          <w:szCs w:val="24"/>
        </w:rPr>
        <w:t xml:space="preserve">§ 3. Лимиты, устанавливаемые для электронных денег</w:t>
      </w:r>
    </w:p>
    <w:p>
      <w:pPr>
        <w:spacing w:after="60"/>
        <w:ind w:firstLine="567"/>
        <w:jc w:val="both"/>
      </w:pPr>
      <w:r>
        <w:rPr>
          <w:rFonts w:ascii="Arial" w:cs="Arial" w:eastAsia="Arial" w:hAnsi="Arial"/>
          <w:sz w:val="24"/>
          <w:szCs w:val="24"/>
        </w:rPr>
        <w:t xml:space="preserve">30. Если клиент удаленно/дистанционно зарегистрировался в системе в соответствии с установленными процедурами банка, оператора, то его электронный кошелек считается неидентифицированным. Остаток на неидентифицированном электронном кошельке не должен превышать 150 (сто пятьдесят) расчетных показателей.</w:t>
      </w:r>
    </w:p>
    <w:p>
      <w:pPr>
        <w:spacing w:after="60"/>
        <w:ind w:firstLine="567"/>
        <w:jc w:val="both"/>
      </w:pPr>
      <w:r>
        <w:rPr>
          <w:rFonts w:ascii="Arial" w:cs="Arial" w:eastAsia="Arial" w:hAnsi="Arial"/>
          <w:sz w:val="24"/>
          <w:szCs w:val="24"/>
        </w:rPr>
        <w:t xml:space="preserve">31. Для неидентифицированных электронных кошельков проведение следующих операций запрещается:</w:t>
      </w:r>
    </w:p>
    <w:p>
      <w:pPr>
        <w:spacing w:after="60"/>
        <w:ind w:firstLine="567"/>
        <w:jc w:val="both"/>
      </w:pPr>
      <w:r>
        <w:rPr>
          <w:rFonts w:ascii="Arial" w:cs="Arial" w:eastAsia="Arial" w:hAnsi="Arial"/>
          <w:sz w:val="24"/>
          <w:szCs w:val="24"/>
        </w:rPr>
        <w:t xml:space="preserve">- перевод средств на неидентифицированные электронные кошельки;</w:t>
      </w:r>
    </w:p>
    <w:p>
      <w:pPr>
        <w:spacing w:after="60"/>
        <w:ind w:firstLine="567"/>
        <w:jc w:val="both"/>
      </w:pPr>
      <w:r>
        <w:rPr>
          <w:rFonts w:ascii="Arial" w:cs="Arial" w:eastAsia="Arial" w:hAnsi="Arial"/>
          <w:sz w:val="24"/>
          <w:szCs w:val="24"/>
        </w:rPr>
        <w:t xml:space="preserve">- погашение (обналичивание).</w:t>
      </w:r>
    </w:p>
    <w:p>
      <w:pPr>
        <w:spacing w:after="60"/>
        <w:ind w:firstLine="567"/>
        <w:jc w:val="both"/>
      </w:pPr>
      <w:r>
        <w:rPr>
          <w:rFonts w:ascii="Arial" w:cs="Arial" w:eastAsia="Arial" w:hAnsi="Arial"/>
          <w:sz w:val="24"/>
          <w:szCs w:val="24"/>
        </w:rPr>
        <w:t xml:space="preserve">32. Общий объем транзакций в месяц с неидентифицированных электронных кошельков не должен превышать 300 (триста) расчетных показателей по одному электронному кошельку.</w:t>
      </w:r>
    </w:p>
    <w:p>
      <w:pPr>
        <w:spacing w:after="60"/>
        <w:ind w:firstLine="567"/>
        <w:jc w:val="both"/>
      </w:pPr>
      <w:r>
        <w:rPr>
          <w:rFonts w:ascii="Arial" w:cs="Arial" w:eastAsia="Arial" w:hAnsi="Arial"/>
          <w:sz w:val="24"/>
          <w:szCs w:val="24"/>
        </w:rPr>
        <w:t xml:space="preserve">Для проведения операций свыше суммы, указанной в абзаце первом настоящего пункта, держатели кошелька должны пройти идентификацию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5t0qi9olafpchh0ajrea">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Банк, агент обязан проводить процедуру идентификации и верификации держателя электронных денег - физического лица в порядке, установленном законодательством Кыргызской Республики, если остаток на электронном кошельке превышает 150 (сто пятьдесят) расчетных показателей.</w:t>
      </w:r>
    </w:p>
    <w:p>
      <w:pPr>
        <w:spacing w:after="60"/>
        <w:ind w:firstLine="567"/>
        <w:jc w:val="both"/>
      </w:pPr>
      <w:r>
        <w:rPr>
          <w:rFonts w:ascii="Arial" w:cs="Arial" w:eastAsia="Arial" w:hAnsi="Arial"/>
          <w:sz w:val="24"/>
          <w:szCs w:val="24"/>
        </w:rPr>
        <w:t xml:space="preserve">34. Банк самостоятельно должен установить размер лимитов для всех своих держателей электронных кошельков, включая агентов, акцептантов, в зависимости от категории держателей электронных кошельков для снижения рисков по операциям с электронными деньгами. Размеры лимитов в зависимости от категории держателей электронных кошельков должны быть установлены во внутренних процедурах банка.</w:t>
      </w:r>
    </w:p>
    <w:p>
      <w:pPr>
        <w:spacing w:after="60"/>
        <w:ind w:firstLine="567"/>
        <w:jc w:val="both"/>
      </w:pPr>
      <w:r>
        <w:rPr>
          <w:rFonts w:ascii="Arial" w:cs="Arial" w:eastAsia="Arial" w:hAnsi="Arial"/>
          <w:sz w:val="24"/>
          <w:szCs w:val="24"/>
        </w:rPr>
        <w:t xml:space="preserve">35. Юридические лица и индивидуальные предприниматели должны проходить полную процедуру идентификации и верификации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Максимальный размер 1 (одной) операции с использованием электронных денег для индивидуальных предпринимателей и юридических лиц не должен превышать 3000 (три тысячи) расчетных показателей. Операции, свыше этой суммы должны проходить через банковские счета этих юридических лиц и индивидуальных предпринимателей.</w:t>
      </w:r>
    </w:p>
    <w:p>
      <w:pPr>
        <w:spacing w:after="200" w:before="200"/>
        <w:jc w:val="center"/>
      </w:pPr>
      <w:r>
        <w:rPr>
          <w:rFonts w:ascii="Arial" w:cs="Arial" w:eastAsia="Arial" w:hAnsi="Arial"/>
          <w:b/>
          <w:bCs/>
          <w:sz w:val="24"/>
          <w:szCs w:val="24"/>
        </w:rPr>
        <w:t xml:space="preserve">§ 4. Порядок учета операций (платежей) с использованием электронных денег</w:t>
      </w:r>
    </w:p>
    <w:p>
      <w:pPr>
        <w:spacing w:after="60"/>
        <w:ind w:firstLine="567"/>
        <w:jc w:val="both"/>
      </w:pPr>
      <w:r>
        <w:rPr>
          <w:rFonts w:ascii="Arial" w:cs="Arial" w:eastAsia="Arial" w:hAnsi="Arial"/>
          <w:sz w:val="24"/>
          <w:szCs w:val="24"/>
        </w:rPr>
        <w:t xml:space="preserve">37. Проведение операций с использованием электронных денег осуществляется участниками системы электронных денег согласно внутренним правилам банка, оператора и условиями договоров между участниками,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38. Учет денежных средств по операциям с использованием электронных денег ведется на отдельном банковском счете по учету электронных денег банка, предназначенном для учета по всем выпущенным электронным деньгам.</w:t>
      </w:r>
    </w:p>
    <w:p>
      <w:pPr>
        <w:spacing w:after="60"/>
        <w:ind w:firstLine="567"/>
        <w:jc w:val="both"/>
      </w:pPr>
      <w:r>
        <w:rPr>
          <w:rFonts w:ascii="Arial" w:cs="Arial" w:eastAsia="Arial" w:hAnsi="Arial"/>
          <w:sz w:val="24"/>
          <w:szCs w:val="24"/>
        </w:rPr>
        <w:t xml:space="preserve">39. Объем и сумма выпущенных электронных денег в системе электронных денег должны соответствовать объему и сумме, которые отражаются в бухгалтерском балансе банка и, соответственно, на банковском счете по учету электронных денег.</w:t>
      </w:r>
    </w:p>
    <w:p>
      <w:pPr>
        <w:spacing w:after="60"/>
        <w:ind w:firstLine="567"/>
        <w:jc w:val="both"/>
      </w:pPr>
      <w:r>
        <w:rPr>
          <w:rFonts w:ascii="Arial" w:cs="Arial" w:eastAsia="Arial" w:hAnsi="Arial"/>
          <w:sz w:val="24"/>
          <w:szCs w:val="24"/>
        </w:rPr>
        <w:t xml:space="preserve">40. Оператор обязан обеспечить банку доступ к информации о держателях, электронных кошельков и транзакциях в режиме реального времени.</w:t>
      </w:r>
    </w:p>
    <w:p>
      <w:pPr>
        <w:spacing w:after="60"/>
        <w:ind w:firstLine="567"/>
        <w:jc w:val="both"/>
      </w:pPr>
      <w:r>
        <w:rPr>
          <w:rFonts w:ascii="Arial" w:cs="Arial" w:eastAsia="Arial" w:hAnsi="Arial"/>
          <w:sz w:val="24"/>
          <w:szCs w:val="24"/>
        </w:rPr>
        <w:t xml:space="preserve">41. Учет денежных средств и взаиморасчеты по хозяйственной или иной деятельности банка, агента, оператора, любые виды комиссий при приеме и обслуживании электронных денег, проводятся на отдельных счетах, отличных от банковского счета по учету электронных денег, открытого у банка.</w:t>
      </w:r>
    </w:p>
    <w:p>
      <w:pPr>
        <w:spacing w:after="60"/>
        <w:ind w:firstLine="567"/>
        <w:jc w:val="both"/>
      </w:pPr>
      <w:r>
        <w:rPr>
          <w:rFonts w:ascii="Arial" w:cs="Arial" w:eastAsia="Arial" w:hAnsi="Arial"/>
          <w:sz w:val="24"/>
          <w:szCs w:val="24"/>
        </w:rPr>
        <w:t xml:space="preserve">42. Банк, оператор должен обеспечивать предоставление Национальному банку всей необходимой отчетности об операциях с использованием электронных денег в соответствии с формой, установленной в </w:t>
      </w:r>
      <w:hyperlink w:history="1" r:id="rIdk3inxrzfdhrk2ndwblmm0">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на ежеквартальной основе, не позднее 15 числа месяца, следующего за отчетным кварталом.</w:t>
      </w:r>
    </w:p>
    <w:p>
      <w:pPr>
        <w:spacing w:after="60"/>
        <w:ind w:firstLine="567"/>
        <w:jc w:val="both"/>
      </w:pPr>
      <w:r>
        <w:rPr>
          <w:rFonts w:ascii="Arial" w:cs="Arial" w:eastAsia="Arial" w:hAnsi="Arial"/>
          <w:sz w:val="24"/>
          <w:szCs w:val="24"/>
        </w:rPr>
        <w:t xml:space="preserve">43. Национальный банк на основании регулярных отчетов, а также при инспекторских проверках осуществляет контроль за соблюдением правил системы расчетов электронными деньгами и требованиями настоящего Положения.</w:t>
      </w:r>
    </w:p>
    <w:p>
      <w:pPr>
        <w:spacing w:after="200" w:before="200"/>
        <w:jc w:val="center"/>
      </w:pPr>
      <w:r>
        <w:rPr>
          <w:rFonts w:ascii="Arial" w:cs="Arial" w:eastAsia="Arial" w:hAnsi="Arial"/>
          <w:b/>
          <w:bCs/>
          <w:sz w:val="24"/>
          <w:szCs w:val="24"/>
        </w:rPr>
        <w:t xml:space="preserve">§ 5. Агенты и распространение электронных денег</w:t>
      </w:r>
    </w:p>
    <w:p>
      <w:pPr>
        <w:spacing w:after="60"/>
        <w:ind w:firstLine="567"/>
        <w:jc w:val="both"/>
      </w:pPr>
      <w:r>
        <w:rPr>
          <w:rFonts w:ascii="Arial" w:cs="Arial" w:eastAsia="Arial" w:hAnsi="Arial"/>
          <w:sz w:val="24"/>
          <w:szCs w:val="24"/>
        </w:rPr>
        <w:t xml:space="preserve">44. Банк может заключить с агентом агентский договор на оказание определенных видов услуг с использованием электронных денег. Банк должен самостоятельно разработать критерии к агентам электронных денег, а также установить перечень возможных операций с использованием электронных денег во внутренних процедурах банка.</w:t>
      </w:r>
    </w:p>
    <w:p>
      <w:pPr>
        <w:spacing w:after="60"/>
        <w:ind w:firstLine="567"/>
        <w:jc w:val="both"/>
      </w:pPr>
      <w:r>
        <w:rPr>
          <w:rFonts w:ascii="Arial" w:cs="Arial" w:eastAsia="Arial" w:hAnsi="Arial"/>
          <w:sz w:val="24"/>
          <w:szCs w:val="24"/>
        </w:rPr>
        <w:t xml:space="preserve">45. Банк несет ответственность в пределах и в соответствии с агентским договором перед своими держателями за действия/бездействия своих агентов, выступающих в рамках агентского договора от имени банка.</w:t>
      </w:r>
    </w:p>
    <w:p>
      <w:pPr>
        <w:spacing w:after="60"/>
        <w:ind w:firstLine="567"/>
        <w:jc w:val="both"/>
      </w:pPr>
      <w:r>
        <w:rPr>
          <w:rFonts w:ascii="Arial" w:cs="Arial" w:eastAsia="Arial" w:hAnsi="Arial"/>
          <w:sz w:val="24"/>
          <w:szCs w:val="24"/>
        </w:rPr>
        <w:t xml:space="preserve">46. Агент для распространения электронных денег с согласия банка может заключить субагентский договор с субагентом. Агент несет ответственность перед банком в пределах и в соответствии с субагентским договором за действия/бездействия своих субагентов, выступающих в рамках субагентского договора от имени агента, банка.</w:t>
      </w:r>
    </w:p>
    <w:p>
      <w:pPr>
        <w:spacing w:after="60"/>
        <w:ind w:firstLine="567"/>
        <w:jc w:val="both"/>
      </w:pPr>
      <w:r>
        <w:rPr>
          <w:rFonts w:ascii="Arial" w:cs="Arial" w:eastAsia="Arial" w:hAnsi="Arial"/>
          <w:sz w:val="24"/>
          <w:szCs w:val="24"/>
        </w:rPr>
        <w:t xml:space="preserve">47. Агент может оказывать услуги нескольким банкам при условии, что агент имеет агентский договор с каждым банком.</w:t>
      </w:r>
    </w:p>
    <w:p>
      <w:pPr>
        <w:spacing w:after="60"/>
        <w:ind w:firstLine="567"/>
        <w:jc w:val="both"/>
      </w:pPr>
      <w:r>
        <w:rPr>
          <w:rFonts w:ascii="Arial" w:cs="Arial" w:eastAsia="Arial" w:hAnsi="Arial"/>
          <w:sz w:val="24"/>
          <w:szCs w:val="24"/>
        </w:rPr>
        <w:t xml:space="preserve">48. Банк должен вести базу данных своих агентов, с указанием наименования агента, фактического адреса, соответствующих документов, удостоверяющих личность и юридический статус, перечня операций и предоставлять его по запросу Национального банка или в ходе инспекторских проверок.</w:t>
      </w:r>
    </w:p>
    <w:p>
      <w:pPr>
        <w:spacing w:after="60"/>
        <w:ind w:firstLine="567"/>
        <w:jc w:val="both"/>
      </w:pPr>
      <w:r>
        <w:rPr>
          <w:rFonts w:ascii="Arial" w:cs="Arial" w:eastAsia="Arial" w:hAnsi="Arial"/>
          <w:sz w:val="24"/>
          <w:szCs w:val="24"/>
        </w:rPr>
        <w:t xml:space="preserve">49. Банк должен иметь следующие документы по привлечению агентов для распространения электронных денег:</w:t>
      </w:r>
    </w:p>
    <w:p>
      <w:pPr>
        <w:spacing w:after="60"/>
        <w:ind w:firstLine="567"/>
        <w:jc w:val="both"/>
      </w:pPr>
      <w:r>
        <w:rPr>
          <w:rFonts w:ascii="Arial" w:cs="Arial" w:eastAsia="Arial" w:hAnsi="Arial"/>
          <w:sz w:val="24"/>
          <w:szCs w:val="24"/>
        </w:rPr>
        <w:t xml:space="preserve">1) копию договора с агентом, который должен помимо прочего предусматривать обязательства агента по требованию Национального банка предоставлять информацию и доступ к своим помещениям, системам и записям;</w:t>
      </w:r>
    </w:p>
    <w:p>
      <w:pPr>
        <w:spacing w:after="60"/>
        <w:ind w:firstLine="567"/>
        <w:jc w:val="both"/>
      </w:pPr>
      <w:r>
        <w:rPr>
          <w:rFonts w:ascii="Arial" w:cs="Arial" w:eastAsia="Arial" w:hAnsi="Arial"/>
          <w:sz w:val="24"/>
          <w:szCs w:val="24"/>
        </w:rPr>
        <w:t xml:space="preserve">2) политику и процедуры оказания услуг с использованием электронных денег и их погашение через своих агентов, в том числе политику и процедуру соблюдения мер по противодействию легализации (отмыванию) преступных доходов и финансированию террористической или экстремистской деятельности, а также соответствующие положения и руководства;</w:t>
      </w:r>
    </w:p>
    <w:p>
      <w:pPr>
        <w:spacing w:after="60"/>
        <w:ind w:firstLine="567"/>
        <w:jc w:val="both"/>
      </w:pPr>
      <w:r>
        <w:rPr>
          <w:rFonts w:ascii="Arial" w:cs="Arial" w:eastAsia="Arial" w:hAnsi="Arial"/>
          <w:sz w:val="24"/>
          <w:szCs w:val="24"/>
        </w:rPr>
        <w:t xml:space="preserve">3) документ об оценке рисков, связанных с предоставлением услуг с электронными деньгами и их погашении через агентов, включая меры контроля, применяемые для снижения рисков;</w:t>
      </w:r>
    </w:p>
    <w:p>
      <w:pPr>
        <w:spacing w:after="60"/>
        <w:ind w:firstLine="567"/>
        <w:jc w:val="both"/>
      </w:pPr>
      <w:r>
        <w:rPr>
          <w:rFonts w:ascii="Arial" w:cs="Arial" w:eastAsia="Arial" w:hAnsi="Arial"/>
          <w:sz w:val="24"/>
          <w:szCs w:val="24"/>
        </w:rPr>
        <w:t xml:space="preserve">4) руководство и любые материалы для агентов, используемые для обучения агентов;</w:t>
      </w:r>
    </w:p>
    <w:p>
      <w:pPr>
        <w:spacing w:after="60"/>
        <w:ind w:firstLine="567"/>
        <w:jc w:val="both"/>
      </w:pPr>
      <w:r>
        <w:rPr>
          <w:rFonts w:ascii="Arial" w:cs="Arial" w:eastAsia="Arial" w:hAnsi="Arial"/>
          <w:sz w:val="24"/>
          <w:szCs w:val="24"/>
        </w:rPr>
        <w:t xml:space="preserve">5) по запросу Национального банка предоставлять другую информацию, которая может потребоваться от банка.</w:t>
      </w:r>
    </w:p>
    <w:p>
      <w:pPr>
        <w:spacing w:after="60"/>
        <w:ind w:firstLine="567"/>
        <w:jc w:val="both"/>
      </w:pPr>
      <w:r>
        <w:rPr>
          <w:rFonts w:ascii="Arial" w:cs="Arial" w:eastAsia="Arial" w:hAnsi="Arial"/>
          <w:sz w:val="24"/>
          <w:szCs w:val="24"/>
        </w:rPr>
        <w:t xml:space="preserve">50. Банк, привлекающий агента для выполнения услуг с использованием электронных денег, должен вести учет/запись, содержащий следующую информацию:</w:t>
      </w:r>
    </w:p>
    <w:p>
      <w:pPr>
        <w:spacing w:after="60"/>
        <w:ind w:firstLine="567"/>
        <w:jc w:val="both"/>
      </w:pPr>
      <w:r>
        <w:rPr>
          <w:rFonts w:ascii="Arial" w:cs="Arial" w:eastAsia="Arial" w:hAnsi="Arial"/>
          <w:sz w:val="24"/>
          <w:szCs w:val="24"/>
        </w:rPr>
        <w:t xml:space="preserve">- название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 документ, подтверждающий регистрацию в соответствующих государственных органах;</w:t>
      </w:r>
    </w:p>
    <w:p>
      <w:pPr>
        <w:spacing w:after="60"/>
        <w:ind w:firstLine="567"/>
        <w:jc w:val="both"/>
      </w:pPr>
      <w:r>
        <w:rPr>
          <w:rFonts w:ascii="Arial" w:cs="Arial" w:eastAsia="Arial" w:hAnsi="Arial"/>
          <w:sz w:val="24"/>
          <w:szCs w:val="24"/>
        </w:rPr>
        <w:t xml:space="preserve">- фактический/юридический адрес, и номера телефонов агента.</w:t>
      </w:r>
    </w:p>
    <w:p>
      <w:pPr>
        <w:spacing w:after="60"/>
        <w:ind w:firstLine="567"/>
        <w:jc w:val="both"/>
      </w:pPr>
      <w:r>
        <w:rPr>
          <w:rFonts w:ascii="Arial" w:cs="Arial" w:eastAsia="Arial" w:hAnsi="Arial"/>
          <w:sz w:val="24"/>
          <w:szCs w:val="24"/>
        </w:rPr>
        <w:t xml:space="preserve">51. Банк, привлекающий агента для оказания услуг с использованием электронных денег, обязан:</w:t>
      </w:r>
    </w:p>
    <w:p>
      <w:pPr>
        <w:spacing w:after="60"/>
        <w:ind w:firstLine="567"/>
        <w:jc w:val="both"/>
      </w:pPr>
      <w:r>
        <w:rPr>
          <w:rFonts w:ascii="Arial" w:cs="Arial" w:eastAsia="Arial" w:hAnsi="Arial"/>
          <w:sz w:val="24"/>
          <w:szCs w:val="24"/>
        </w:rPr>
        <w:t xml:space="preserve">1) предоставить надлежащее обучение своему агенту, в том числе руководство для агента или акцептанта, содержащее политику, правила и операционное руководство, необходимые для обеспечения безопасного и эффективного предоставления услуг клиентам;</w:t>
      </w:r>
    </w:p>
    <w:p>
      <w:pPr>
        <w:spacing w:after="60"/>
        <w:ind w:firstLine="567"/>
        <w:jc w:val="both"/>
      </w:pPr>
      <w:r>
        <w:rPr>
          <w:rFonts w:ascii="Arial" w:cs="Arial" w:eastAsia="Arial" w:hAnsi="Arial"/>
          <w:sz w:val="24"/>
          <w:szCs w:val="24"/>
        </w:rPr>
        <w:t xml:space="preserve">2) осуществлять контроль за деятельностью своих агентов, в рамках заключенного агентского договора;</w:t>
      </w:r>
    </w:p>
    <w:p>
      <w:pPr>
        <w:spacing w:after="60"/>
        <w:ind w:firstLine="567"/>
        <w:jc w:val="both"/>
      </w:pPr>
      <w:r>
        <w:rPr>
          <w:rFonts w:ascii="Arial" w:cs="Arial" w:eastAsia="Arial" w:hAnsi="Arial"/>
          <w:sz w:val="24"/>
          <w:szCs w:val="24"/>
        </w:rPr>
        <w:t xml:space="preserve">3) вести учет количества, объемов и размеров операций, осуществляемых каждым агентом.</w:t>
      </w:r>
    </w:p>
    <w:p>
      <w:pPr>
        <w:spacing w:after="60"/>
        <w:ind w:firstLine="567"/>
        <w:jc w:val="both"/>
      </w:pPr>
      <w:r>
        <w:rPr>
          <w:rFonts w:ascii="Arial" w:cs="Arial" w:eastAsia="Arial" w:hAnsi="Arial"/>
          <w:sz w:val="24"/>
          <w:szCs w:val="24"/>
        </w:rPr>
        <w:t xml:space="preserve">52. Распространение электронных денег может осуществляться банком, агентом и субагентом.</w:t>
      </w:r>
    </w:p>
    <w:p>
      <w:pPr>
        <w:spacing w:after="60"/>
        <w:ind w:firstLine="567"/>
        <w:jc w:val="both"/>
      </w:pPr>
      <w:r>
        <w:rPr>
          <w:rFonts w:ascii="Arial" w:cs="Arial" w:eastAsia="Arial" w:hAnsi="Arial"/>
          <w:sz w:val="24"/>
          <w:szCs w:val="24"/>
        </w:rPr>
        <w:t xml:space="preserve">53. При распространении электронных денег банк, агент, субагент должен ознакомить держателя с правами и обязанностями сторон, характеристиками распространяемых ими электронных денег и тарифами на оказываемые услуги до получения оплаты за электронные деньги от держателя.</w:t>
      </w:r>
    </w:p>
    <w:p>
      <w:pPr>
        <w:spacing w:after="60"/>
        <w:ind w:firstLine="567"/>
        <w:jc w:val="both"/>
      </w:pPr>
      <w:r>
        <w:rPr>
          <w:rFonts w:ascii="Arial" w:cs="Arial" w:eastAsia="Arial" w:hAnsi="Arial"/>
          <w:sz w:val="24"/>
          <w:szCs w:val="24"/>
        </w:rPr>
        <w:t xml:space="preserve">54. Для распространения электронных денег агент перечисляет банку денежные средства/предоставляет банковские гарантии, равные сумме номинала, передаваемых ему банком электронных денег. Размер вознаграждения агенту и способы оплаты за услуги предусматриваются в договоре между банком и агентом.</w:t>
      </w:r>
    </w:p>
    <w:p>
      <w:pPr>
        <w:spacing w:after="60"/>
        <w:ind w:firstLine="567"/>
        <w:jc w:val="both"/>
      </w:pPr>
      <w:r>
        <w:rPr>
          <w:rFonts w:ascii="Arial" w:cs="Arial" w:eastAsia="Arial" w:hAnsi="Arial"/>
          <w:sz w:val="24"/>
          <w:szCs w:val="24"/>
        </w:rPr>
        <w:t xml:space="preserve">55. Все взаиморасчеты между банком, агентом, и субагентом должны осуществляться через их банковские расчетные счета и/или электронные кошельки.</w:t>
      </w:r>
    </w:p>
    <w:p>
      <w:pPr>
        <w:spacing w:after="200" w:before="200"/>
        <w:jc w:val="center"/>
      </w:pPr>
      <w:r>
        <w:rPr>
          <w:rFonts w:ascii="Arial" w:cs="Arial" w:eastAsia="Arial" w:hAnsi="Arial"/>
          <w:b/>
          <w:bCs/>
          <w:sz w:val="24"/>
          <w:szCs w:val="24"/>
        </w:rPr>
        <w:t xml:space="preserve">§ 6. Порядок погашения электронных денег</w:t>
      </w:r>
    </w:p>
    <w:p>
      <w:pPr>
        <w:spacing w:after="60"/>
        <w:ind w:firstLine="567"/>
        <w:jc w:val="both"/>
      </w:pPr>
      <w:r>
        <w:rPr>
          <w:rFonts w:ascii="Arial" w:cs="Arial" w:eastAsia="Arial" w:hAnsi="Arial"/>
          <w:sz w:val="24"/>
          <w:szCs w:val="24"/>
        </w:rPr>
        <w:t xml:space="preserve">56. Банк обязан погасить держателю выпущенные электронные деньги путем обмена на наличные денежные средства либо путем перечисления безналичных средств на банковский счет держателя.</w:t>
      </w:r>
    </w:p>
    <w:p>
      <w:pPr>
        <w:spacing w:after="60"/>
        <w:ind w:firstLine="567"/>
        <w:jc w:val="both"/>
      </w:pPr>
      <w:r>
        <w:rPr>
          <w:rFonts w:ascii="Arial" w:cs="Arial" w:eastAsia="Arial" w:hAnsi="Arial"/>
          <w:sz w:val="24"/>
          <w:szCs w:val="24"/>
        </w:rPr>
        <w:t xml:space="preserve">57. Обналичивание электронных денег может производиться как банком, так и агентом, субагентом, заключившим агентский договор с банком.</w:t>
      </w:r>
    </w:p>
    <w:p>
      <w:pPr>
        <w:spacing w:after="60"/>
        <w:ind w:firstLine="567"/>
        <w:jc w:val="both"/>
      </w:pPr>
      <w:r>
        <w:rPr>
          <w:rFonts w:ascii="Arial" w:cs="Arial" w:eastAsia="Arial" w:hAnsi="Arial"/>
          <w:sz w:val="24"/>
          <w:szCs w:val="24"/>
        </w:rPr>
        <w:t xml:space="preserve">58. Юридическим лицам погашение электронных денег на сумму свыше 500 (пятьсот) расчетных показателей, осуществляется только путем перевода денежных средств на их банковские счета.</w:t>
      </w:r>
    </w:p>
    <w:p>
      <w:pPr>
        <w:spacing w:after="60"/>
        <w:ind w:firstLine="567"/>
        <w:jc w:val="both"/>
      </w:pPr>
      <w:r>
        <w:rPr>
          <w:rFonts w:ascii="Arial" w:cs="Arial" w:eastAsia="Arial" w:hAnsi="Arial"/>
          <w:sz w:val="24"/>
          <w:szCs w:val="24"/>
        </w:rPr>
        <w:t xml:space="preserve">59. При погашении электронных денег сумма выдаваемых денежных средств должна соответствовать сумме электронных денег, предъявленных к погашению. При этом банк оплачивает вознаграждение агенту в размере и порядке, установленных в агентском договоре.</w:t>
      </w:r>
    </w:p>
    <w:p>
      <w:pPr>
        <w:spacing w:after="200" w:before="200"/>
        <w:jc w:val="center"/>
      </w:pPr>
      <w:r>
        <w:rPr>
          <w:rFonts w:ascii="Arial" w:cs="Arial" w:eastAsia="Arial" w:hAnsi="Arial"/>
          <w:b/>
          <w:bCs/>
          <w:sz w:val="24"/>
          <w:szCs w:val="24"/>
        </w:rPr>
        <w:t xml:space="preserve">§ 7. Санкционирование операций (транзакций) с электронными деньгами</w:t>
      </w:r>
    </w:p>
    <w:p>
      <w:pPr>
        <w:spacing w:after="60"/>
        <w:ind w:firstLine="567"/>
        <w:jc w:val="both"/>
      </w:pPr>
      <w:r>
        <w:rPr>
          <w:rFonts w:ascii="Arial" w:cs="Arial" w:eastAsia="Arial" w:hAnsi="Arial"/>
          <w:sz w:val="24"/>
          <w:szCs w:val="24"/>
        </w:rPr>
        <w:t xml:space="preserve">60. Операция (транзакция) с электронными деньгами считается санкционированной только в том случае, если держатель дал свое согласие на проведение такой транзакции. Согласие на проведение транзакций с электронными деньгами представляется в форме, согласованной между банком, оператором, агентом, субагентом и держателем электронных денег. При отсутствии такого согласия транзакция считается несанкционированной.</w:t>
      </w:r>
    </w:p>
    <w:p>
      <w:pPr>
        <w:spacing w:after="60"/>
        <w:ind w:firstLine="567"/>
        <w:jc w:val="both"/>
      </w:pPr>
      <w:r>
        <w:rPr>
          <w:rFonts w:ascii="Arial" w:cs="Arial" w:eastAsia="Arial" w:hAnsi="Arial"/>
          <w:sz w:val="24"/>
          <w:szCs w:val="24"/>
        </w:rPr>
        <w:t xml:space="preserve">61. Поручение о проведении транзакции с электронными деньгами, полученное акцептантом, имеет такую же силу, что и поручение от держателя, и должно быть проверено банком, оператором держателем электронных денег в соответствии с порядком, установленным процедурами безопасности банка, оператора.</w:t>
      </w:r>
    </w:p>
    <w:p>
      <w:pPr>
        <w:spacing w:after="60"/>
        <w:ind w:firstLine="567"/>
        <w:jc w:val="both"/>
      </w:pPr>
      <w:r>
        <w:rPr>
          <w:rFonts w:ascii="Arial" w:cs="Arial" w:eastAsia="Arial" w:hAnsi="Arial"/>
          <w:sz w:val="24"/>
          <w:szCs w:val="24"/>
        </w:rPr>
        <w:t xml:space="preserve">62. Если поручение о проведении транзакции было передано в соответствии с требованиями безопасности, но при этом система электронных денег ошибочно провела транзакцию, превысила установленный допустимый лимит, продублировала поручение о проведении транзакции или совершила другие ошибочные действия, то правилами должно быть предусмотрено следующее:</w:t>
      </w:r>
    </w:p>
    <w:p>
      <w:pPr>
        <w:spacing w:after="60"/>
        <w:ind w:firstLine="567"/>
        <w:jc w:val="both"/>
      </w:pPr>
      <w:r>
        <w:rPr>
          <w:rFonts w:ascii="Arial" w:cs="Arial" w:eastAsia="Arial" w:hAnsi="Arial"/>
          <w:sz w:val="24"/>
          <w:szCs w:val="24"/>
        </w:rPr>
        <w:t xml:space="preserve">1) если держатель докажет, что</w:t>
      </w:r>
    </w:p>
    <w:p>
      <w:pPr>
        <w:spacing w:after="60"/>
        <w:ind w:firstLine="567"/>
        <w:jc w:val="both"/>
      </w:pPr>
      <w:r>
        <w:rPr>
          <w:rFonts w:ascii="Arial" w:cs="Arial" w:eastAsia="Arial" w:hAnsi="Arial"/>
          <w:sz w:val="24"/>
          <w:szCs w:val="24"/>
        </w:rPr>
        <w:t xml:space="preserve">- им или лицом, действующим от имени держателя, соблюдены требования безопасности;</w:t>
      </w:r>
    </w:p>
    <w:p>
      <w:pPr>
        <w:spacing w:after="60"/>
        <w:ind w:firstLine="567"/>
        <w:jc w:val="both"/>
      </w:pPr>
      <w:r>
        <w:rPr>
          <w:rFonts w:ascii="Arial" w:cs="Arial" w:eastAsia="Arial" w:hAnsi="Arial"/>
          <w:sz w:val="24"/>
          <w:szCs w:val="24"/>
        </w:rPr>
        <w:t xml:space="preserve">- ошибка была бы обнаружена, если бы акцептант по транзакции также соблюдал эти процедуры, то держатель не должен платить по поручению, указанному в подпунктах настоящего пункта;</w:t>
      </w:r>
    </w:p>
    <w:p>
      <w:pPr>
        <w:spacing w:after="60"/>
        <w:ind w:firstLine="567"/>
        <w:jc w:val="both"/>
      </w:pPr>
      <w:r>
        <w:rPr>
          <w:rFonts w:ascii="Arial" w:cs="Arial" w:eastAsia="Arial" w:hAnsi="Arial"/>
          <w:sz w:val="24"/>
          <w:szCs w:val="24"/>
        </w:rPr>
        <w:t xml:space="preserve">2) если транзакция проведена на основе ошибочного поручения о транзакции, то получатель электронных денег или акцептант должен вернуть уплаченную сумму отправителю поручения;</w:t>
      </w:r>
    </w:p>
    <w:p>
      <w:pPr>
        <w:spacing w:after="60"/>
        <w:ind w:firstLine="567"/>
        <w:jc w:val="both"/>
      </w:pPr>
      <w:r>
        <w:rPr>
          <w:rFonts w:ascii="Arial" w:cs="Arial" w:eastAsia="Arial" w:hAnsi="Arial"/>
          <w:sz w:val="24"/>
          <w:szCs w:val="24"/>
        </w:rPr>
        <w:t xml:space="preserve">3) если проведена дублирующая транзакция, то держатель вправе взыскать с получателя сумму, которая была списана свыше суммы транзакции.</w:t>
      </w:r>
    </w:p>
    <w:p>
      <w:pPr>
        <w:spacing w:after="60"/>
        <w:ind w:firstLine="567"/>
        <w:jc w:val="both"/>
      </w:pPr>
      <w:r>
        <w:rPr>
          <w:rFonts w:ascii="Arial" w:cs="Arial" w:eastAsia="Arial" w:hAnsi="Arial"/>
          <w:sz w:val="24"/>
          <w:szCs w:val="24"/>
        </w:rPr>
        <w:t xml:space="preserve">63. Банк/оператор обязан предоставить эффективные и удобные средства, с помощью которых держатель может уведомлять Банк/оператор о любых убытках, злоупотреблениях, хищении или несанкционированном использовании электронных денег или других электронных устройств либо нарушении кода доступа.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ck3ig6kzyhmj9etd1uz4">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Банк/оператор обязан обеспечить процедуры для подтверждения держателем получения уведомлений, в том числе по телефону, о любых убытках, ненадлежащем использовании, хищении или несанкционированном использовании электронных денег или другого электронного устройства либо нарушении безопасности кода доступа.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mfbko1lrzauzutpckyy">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Банк/оператор несет ответственность перед держателями:</w:t>
      </w:r>
    </w:p>
    <w:p>
      <w:pPr>
        <w:spacing w:after="60"/>
        <w:ind w:firstLine="567"/>
        <w:jc w:val="both"/>
      </w:pPr>
      <w:r>
        <w:rPr>
          <w:rFonts w:ascii="Arial" w:cs="Arial" w:eastAsia="Arial" w:hAnsi="Arial"/>
          <w:sz w:val="24"/>
          <w:szCs w:val="24"/>
        </w:rPr>
        <w:t xml:space="preserve">1) за убытки, вызванные отказом системы электронных денег при проведении транзакции, принятой в соответствии с поручением держателя, если банком, оператором не были соблюдены требования, изложенные в настоящем разделе по уведомлению держателя о сбое системы электронных денег;</w:t>
      </w:r>
    </w:p>
    <w:p>
      <w:pPr>
        <w:spacing w:after="60"/>
        <w:ind w:firstLine="567"/>
        <w:jc w:val="both"/>
      </w:pPr>
      <w:r>
        <w:rPr>
          <w:rFonts w:ascii="Arial" w:cs="Arial" w:eastAsia="Arial" w:hAnsi="Arial"/>
          <w:sz w:val="24"/>
          <w:szCs w:val="24"/>
        </w:rPr>
        <w:t xml:space="preserve">2) за ошибки в вычислениях или бухгалтерском учете.</w:t>
      </w:r>
    </w:p>
    <w:p>
      <w:pPr>
        <w:spacing w:after="60"/>
        <w:ind w:firstLine="567"/>
        <w:jc w:val="both"/>
      </w:pPr>
      <w:r>
        <w:rPr>
          <w:rFonts w:ascii="Arial" w:cs="Arial" w:eastAsia="Arial" w:hAnsi="Arial"/>
          <w:sz w:val="24"/>
          <w:szCs w:val="24"/>
        </w:rPr>
        <w:t xml:space="preserve">66. Банк, оператор обязан проинформировать держателя в момент совершения транзакции любыми средствами, которые являются достаточными, что система или оборудование для проведения транзакций с электронными деньгами не может быть использована.</w:t>
      </w:r>
    </w:p>
    <w:p>
      <w:pPr>
        <w:spacing w:after="60"/>
        <w:ind w:firstLine="567"/>
        <w:jc w:val="both"/>
      </w:pPr>
      <w:r>
        <w:rPr>
          <w:rFonts w:ascii="Arial" w:cs="Arial" w:eastAsia="Arial" w:hAnsi="Arial"/>
          <w:sz w:val="24"/>
          <w:szCs w:val="24"/>
        </w:rPr>
        <w:t xml:space="preserve">67. Банк, оператор обязан в момент совершения транзакции уведомить держателя о любых возникших проблемах при проведении транзакции с электронными деньгами о любой, ранее не выявленной неисправности системы.</w:t>
      </w:r>
    </w:p>
    <w:p>
      <w:pPr>
        <w:spacing w:after="60"/>
        <w:ind w:firstLine="567"/>
        <w:jc w:val="both"/>
      </w:pPr>
      <w:r>
        <w:rPr>
          <w:rFonts w:ascii="Arial" w:cs="Arial" w:eastAsia="Arial" w:hAnsi="Arial"/>
          <w:sz w:val="24"/>
          <w:szCs w:val="24"/>
        </w:rPr>
        <w:t xml:space="preserve">68. Банк не несет ответственности перед держателем, если перевод электронных средств не был осуществлен по причине или в результате форс-мажорных обстоятельств или других обстоятельств, находящихся вне его контроля, при условии, что банк в момент совершения транзакции уведомил о технической неисправности держателя.</w:t>
      </w:r>
    </w:p>
    <w:p>
      <w:pPr>
        <w:spacing w:after="200" w:before="200"/>
        <w:jc w:val="center"/>
      </w:pPr>
      <w:r>
        <w:rPr>
          <w:rFonts w:ascii="Arial" w:cs="Arial" w:eastAsia="Arial" w:hAnsi="Arial"/>
          <w:b/>
          <w:bCs/>
          <w:sz w:val="24"/>
          <w:szCs w:val="24"/>
        </w:rPr>
        <w:t xml:space="preserve">Глава 4. Требования к агенту международных систем электронных денег и оператору международных систем электронных денег/эмитенту международных электронных денег</w:t>
      </w:r>
    </w:p>
    <w:p>
      <w:pPr>
        <w:spacing w:after="200"/>
        <w:jc w:val="center"/>
      </w:pPr>
      <w:r>
        <w:rPr>
          <w:rFonts w:ascii="Arial" w:cs="Arial" w:eastAsia="Arial" w:hAnsi="Arial"/>
          <w:i/>
          <w:iCs/>
          <w:sz w:val="24"/>
          <w:szCs w:val="24"/>
        </w:rPr>
        <w:t xml:space="preserve">(Наименование главы
 в редакции </w:t>
      </w:r>
      <w:hyperlink w:history="1" r:id="rIdj7zjodc-umxnp4mwm0ci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мая 2017 года № 19/1)</w:t>
      </w:r>
    </w:p>
    <w:p>
      <w:pPr>
        <w:spacing w:after="60"/>
        <w:ind w:firstLine="567"/>
        <w:jc w:val="both"/>
      </w:pPr>
      <w:r>
        <w:rPr>
          <w:rFonts w:ascii="Arial" w:cs="Arial" w:eastAsia="Arial" w:hAnsi="Arial"/>
          <w:sz w:val="24"/>
          <w:szCs w:val="24"/>
        </w:rPr>
        <w:t xml:space="preserve">69. Международная система электронных денег/эмитент международной системы электронных денег для оказания услуг с использованием международных электронных денег на территории Кыргызской Республики должна пройти регистрацию в Национальном банке. Деятельность оператора международной системы электронных денег/эмитента международных электронных денег на территории Кыргызской Республики без наличия регистрации в Национальном банке запрещается.</w:t>
      </w:r>
    </w:p>
    <w:p>
      <w:pPr>
        <w:spacing w:after="60"/>
        <w:ind w:firstLine="567"/>
        <w:jc w:val="both"/>
      </w:pPr>
      <w:r>
        <w:rPr>
          <w:rFonts w:ascii="Arial" w:cs="Arial" w:eastAsia="Arial" w:hAnsi="Arial"/>
          <w:i/>
          <w:iCs/>
          <w:sz w:val="24"/>
          <w:szCs w:val="24"/>
        </w:rPr>
        <w:t xml:space="preserve">Внимание! В соответствии с пунктом 3-1 </w:t>
      </w:r>
      <w:hyperlink w:history="1" r:id="rIdvjitxsq03kgmn22oqbgd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Национального банка Кыргызской Республики от 30 марта 2016 года № 15/6 требование пункта 69 настоящего Положения вступает в силу с 1 июня 2017 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acb1meovnzbfdzmk33fr">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Для прохождения регистрации оператор международной системы электронных денег/эмитент международной системы электронных денег направляет в Национальный банк заявление о регистрации и предоставляет пакет документов, включающих следующее:</w:t>
      </w:r>
    </w:p>
    <w:p>
      <w:pPr>
        <w:spacing w:after="60"/>
        <w:ind w:firstLine="567"/>
        <w:jc w:val="both"/>
      </w:pPr>
      <w:r>
        <w:rPr>
          <w:rFonts w:ascii="Arial" w:cs="Arial" w:eastAsia="Arial" w:hAnsi="Arial"/>
          <w:sz w:val="24"/>
          <w:szCs w:val="24"/>
        </w:rPr>
        <w:t xml:space="preserve">- наименование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копии разрешительных документов оператора международной системы электронных денег/эмитента международных электронных денег, лицензии/сертификата/свидетельства о регистрации на право осуществления деятельности оператора/эмитента электронных денег/электронных денежных средств, по процессингу и обслуживанию, выданных уполномоченным органом страны происхождения, регулирующим указанную деятельность;</w:t>
      </w:r>
    </w:p>
    <w:p>
      <w:pPr>
        <w:spacing w:after="60"/>
        <w:ind w:firstLine="567"/>
        <w:jc w:val="both"/>
      </w:pPr>
      <w:r>
        <w:rPr>
          <w:rFonts w:ascii="Arial" w:cs="Arial" w:eastAsia="Arial" w:hAnsi="Arial"/>
          <w:sz w:val="24"/>
          <w:szCs w:val="24"/>
        </w:rPr>
        <w:t xml:space="preserve">- правила работы оператора международной системы электронных денег/эмитента международных электронных денег или иной документ, регулирующий операции с международными электронными деньгами, по законодательству страны происхождения эмитента. Правила должны также содержать общую схему всех денежных и информационных потоков, описание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hfgdd-8dew8xm1k3bjhp">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В случае необходимости, по запросу Национального банка, отдельные документы должны предоставляться в электронной форме.</w:t>
      </w:r>
    </w:p>
    <w:p>
      <w:pPr>
        <w:spacing w:after="60"/>
        <w:ind w:firstLine="567"/>
        <w:jc w:val="both"/>
      </w:pPr>
      <w:r>
        <w:rPr>
          <w:rFonts w:ascii="Arial" w:cs="Arial" w:eastAsia="Arial" w:hAnsi="Arial"/>
          <w:sz w:val="24"/>
          <w:szCs w:val="24"/>
        </w:rPr>
        <w:t xml:space="preserve">72. Срок рассмотрения заявления на регистрацию оператора международной системы электронных денег/эмитента международных электронных денег составляет 15 календарных дней. Если предоставленные документы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 В случае несоответствия документов установленным требованиям и при предоставлении неполного пакета документов они возвращаются на доработку. Оператор международной системы электронных денег/эмитент международных электронных денег в срок не более 10 календарных дней должна/должен предоставить в Национальный банк документы, доработанные с учетом замечаний. При предоставлении документов, не соответствующих требованиям настоящего Положения или не в полном объеме более двух раз, Национальный банк вправе отказать оператору международной системы электронных денег/эмитенту международных электронных денег в регистрации.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_oyv8iha1mzypmcz2r_f">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В случае принятия решения о регистрации Национальный банк присваивает оператору международной системы электронных денег/эмитенту международной системы электронных денег регистрационный номер и включает информацию в реестр международных платежных систем на территории Кыргызской Республики и в срок не позднее 7 календарных дней с даты принятия решения направляет оператору международной системы электронных денег/эмитенту международных электронных денег письмо о прохождении регистрации.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v_21hwnfyd9woowtzovh">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Оператор международной системы электронных денег/эмитент международных электронных денег обязан уведомить в письменной форме Национальный банк об изменении любых сведений, указанных при регистрации в течение трех рабочих дней с момента наступления изменений. Национальный банк на основании предоставленной информации в течение трех рабочих дней вносит изменения в реестр международных платежных систем.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gau66cvqnwkywlimu99l">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Документы, предоставленные оператором международной системы электронных денег/эмитентом международных электронных денег в Национальный банк, не возвращаются.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nncsk2lx2owiextz6dq8">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Оператор международной системы электронных денег/эмитент международных электронных денег после прохождения процедуры регистрации должна/должен предоставить для Национального банка постоянный доступ к документам системы (правилам, действующим тарифам, типовым договорам, требованиям для участия, отчетам и т.д.), в том числе на своих сайтах.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njciw8hy2t1jyqw8jox2">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76-1. Оператор международной системы электронных денег/эмитент международных электронных денег не позднее 6 (шести) месяцев со дня даты регистрации в Национальном банке, должен представить в Национальный банк договор/а с агентом международных систем электронных денег.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d_cfzcn6cvewv_5zn1wr">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Финансовые обязательства, порядок проведения ежедневного взаиморасчета и другие финансовые и иные условия должны быть установлены в договоре между оператором международной системы электронных денег/эмитентом международной системы электронных денег и агентом международной системы электронных денег.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nvpyxtiz2zlijcvvaaeq">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Агент международной системы электронных денег может предоставлять услуги по погашению и пополнению международных электронных денег, а также заключать договоры с акцептантами для приема международных электронных денег для оплаты товаров или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ekkookb-nvobra-pis1m">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Агент международной системы электронных денег может заключать договора с субагентами для выполнения ими функций обналичивания и пополнения международных электронных денег. В качестве субагентов международной системы электронных денег могут выступать юридические лица и индивидуальные предприниматели.</w:t>
      </w:r>
    </w:p>
    <w:p>
      <w:pPr>
        <w:spacing w:after="60"/>
        <w:ind w:firstLine="567"/>
        <w:jc w:val="both"/>
      </w:pPr>
      <w:r>
        <w:rPr>
          <w:rFonts w:ascii="Arial" w:cs="Arial" w:eastAsia="Arial" w:hAnsi="Arial"/>
          <w:sz w:val="24"/>
          <w:szCs w:val="24"/>
        </w:rPr>
        <w:t xml:space="preserve">80. Агент международной системы электронных денег должен выполнять требования по лимитам для международных электронных кошельков, действующим на территории Кыргызской Республики в соответствии с § 3 Главы 3 настоящего Положения.</w:t>
      </w:r>
    </w:p>
    <w:p>
      <w:pPr>
        <w:spacing w:after="60"/>
        <w:ind w:firstLine="567"/>
        <w:jc w:val="both"/>
      </w:pPr>
      <w:r>
        <w:rPr>
          <w:rFonts w:ascii="Arial" w:cs="Arial" w:eastAsia="Arial" w:hAnsi="Arial"/>
          <w:sz w:val="24"/>
          <w:szCs w:val="24"/>
        </w:rPr>
        <w:t xml:space="preserve">81. Погашение международных электронных денег может проводиться в иностранной или национальной валюте по собственному выбору держателя международных электронных денег. При погашении в национальной валюте, конвертация осуществляется согласно договору о распространении международных электронных денег с агентом международных электронных денег, учитывая официальный курс валюты, размещенный на официальном сайте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y4tqr5j7ldfc9eq1m67">
        <w:r>
          <w:rPr>
            <w:rFonts w:ascii="Arial" w:cs="Arial" w:eastAsia="Arial" w:hAnsi="Arial"/>
            <w:i/>
            <w:iCs/>
            <w:color w:val="1D4ED8"/>
            <w:sz w:val="24"/>
            <w:szCs w:val="24"/>
            <w:u w:val="single"/>
          </w:rPr>
          <w:t xml:space="preserve">17 мая 2017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Учет денежных средств, поступающих от держателей международных электронных денег, ведется на отдельном банковском счете, предназначенном для учета по операциям с международными электронными деньгами.</w:t>
      </w:r>
    </w:p>
    <w:p>
      <w:pPr>
        <w:spacing w:after="60"/>
        <w:ind w:firstLine="567"/>
        <w:jc w:val="both"/>
      </w:pPr>
      <w:r>
        <w:rPr>
          <w:rFonts w:ascii="Arial" w:cs="Arial" w:eastAsia="Arial" w:hAnsi="Arial"/>
          <w:sz w:val="24"/>
          <w:szCs w:val="24"/>
        </w:rPr>
        <w:t xml:space="preserve">83. Агент международных систем электронных денег должен иметь разработанные и утвержденные внутренние правила и процедуры по работе с международной системой электронных денег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84. Агент международной системы электронных денег предоставляет отчет в Национальный банк в форме, установленной в </w:t>
      </w:r>
      <w:hyperlink w:history="1" r:id="rIdfpbtrtzjq1qpyeqyskzf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до 15 числа месяца следующим за отчетным кварталом.</w:t>
      </w:r>
    </w:p>
    <w:p>
      <w:pPr>
        <w:spacing w:after="200" w:before="200"/>
        <w:jc w:val="center"/>
      </w:pPr>
      <w:r>
        <w:rPr>
          <w:rFonts w:ascii="Arial" w:cs="Arial" w:eastAsia="Arial" w:hAnsi="Arial"/>
          <w:b/>
          <w:bCs/>
          <w:sz w:val="24"/>
          <w:szCs w:val="24"/>
        </w:rPr>
        <w:t xml:space="preserve">Глава 5. Управление рисками при использовании электронных денег</w:t>
      </w:r>
    </w:p>
    <w:p>
      <w:pPr>
        <w:spacing w:after="60"/>
        <w:ind w:firstLine="567"/>
        <w:jc w:val="both"/>
      </w:pPr>
      <w:r>
        <w:rPr>
          <w:rFonts w:ascii="Arial" w:cs="Arial" w:eastAsia="Arial" w:hAnsi="Arial"/>
          <w:sz w:val="24"/>
          <w:szCs w:val="24"/>
        </w:rPr>
        <w:t xml:space="preserve">85. Система расчетов с использованием электронных денег должна быть обеспечена внутренними правилами и процедурами использования электронных денег и договорными отношениями, регулирующими работу системы. Система электронных денег должна обеспечивать соответствующие механизмы технической, организационной, технологической безопасности для недопущения, предотвращения и распознавания рисков угрозы безопасности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86. Система электронных денег должна обладать механизмами защиты от мошеннических действий и выявления подозрительных и сомнительных транзакций (операций), приостановления операций и блокирования электронных кошельков, осуществляемых или принадлежащих лицам, включенным в перечень лиц, причастных к террористической и экстремистской деятельности,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87. Система электронных денег должна обладать возможностью формирования необходимых статистических и информационных отчетов о денежном обращении в форме электронных денег в соответствии с требованиями Национального банка в рамках надзора за платежной системой Кыргызской Республики, банковского надзора и денежно-кредитной политики.</w:t>
      </w:r>
    </w:p>
    <w:p>
      <w:pPr>
        <w:spacing w:after="60"/>
        <w:ind w:firstLine="567"/>
        <w:jc w:val="both"/>
      </w:pPr>
      <w:r>
        <w:rPr>
          <w:rFonts w:ascii="Arial" w:cs="Arial" w:eastAsia="Arial" w:hAnsi="Arial"/>
          <w:sz w:val="24"/>
          <w:szCs w:val="24"/>
        </w:rPr>
        <w:t xml:space="preserve">88. Система электронных денег может иметь возможность эффективного интегрирования с взаимодействующими системами участников электронных денег (внутренняя система по учету движения денежных средств) путем использования унифицированных стандартов передачи данных и форматов платежей для снижения издержек акцептантов и держателей электронных денег при их использовании.</w:t>
      </w:r>
    </w:p>
    <w:p>
      <w:pPr>
        <w:spacing w:after="60"/>
        <w:ind w:firstLine="567"/>
        <w:jc w:val="both"/>
      </w:pPr>
      <w:r>
        <w:rPr>
          <w:rFonts w:ascii="Arial" w:cs="Arial" w:eastAsia="Arial" w:hAnsi="Arial"/>
          <w:sz w:val="24"/>
          <w:szCs w:val="24"/>
        </w:rPr>
        <w:t xml:space="preserve">89. Система электронных денег должна быть эффективной для участников по использованию электронных денег, доступной по цене и удобной в использовании для держателей электронных денег, соответствовать требованиям защиты прав потребителей.</w:t>
      </w:r>
    </w:p>
    <w:p>
      <w:pPr>
        <w:spacing w:after="60"/>
        <w:ind w:firstLine="567"/>
        <w:jc w:val="both"/>
      </w:pPr>
      <w:r>
        <w:rPr>
          <w:rFonts w:ascii="Arial" w:cs="Arial" w:eastAsia="Arial" w:hAnsi="Arial"/>
          <w:sz w:val="24"/>
          <w:szCs w:val="24"/>
        </w:rPr>
        <w:t xml:space="preserve">90. Управление операционным риском в системе электронных денег должно быть основано на реализации следующих основных принципов:</w:t>
      </w:r>
    </w:p>
    <w:p>
      <w:pPr>
        <w:spacing w:after="60"/>
        <w:ind w:firstLine="567"/>
        <w:jc w:val="both"/>
      </w:pPr>
      <w:r>
        <w:rPr>
          <w:rFonts w:ascii="Arial" w:cs="Arial" w:eastAsia="Arial" w:hAnsi="Arial"/>
          <w:sz w:val="24"/>
          <w:szCs w:val="24"/>
        </w:rPr>
        <w:t xml:space="preserve">1) наличие процедур внутреннего контроля и аудита работы системы, хранение информации о действиях системы и проводимых транзакциях в электронном виде;</w:t>
      </w:r>
    </w:p>
    <w:p>
      <w:pPr>
        <w:spacing w:after="60"/>
        <w:ind w:firstLine="567"/>
        <w:jc w:val="both"/>
      </w:pPr>
      <w:r>
        <w:rPr>
          <w:rFonts w:ascii="Arial" w:cs="Arial" w:eastAsia="Arial" w:hAnsi="Arial"/>
          <w:sz w:val="24"/>
          <w:szCs w:val="24"/>
        </w:rPr>
        <w:t xml:space="preserve">2) наличие персонала, квалификация которого соответствует требованиям для выполнения возложенной ответственности согласно должностным инструкциям;</w:t>
      </w:r>
    </w:p>
    <w:p>
      <w:pPr>
        <w:spacing w:after="60"/>
        <w:ind w:firstLine="567"/>
        <w:jc w:val="both"/>
      </w:pPr>
      <w:r>
        <w:rPr>
          <w:rFonts w:ascii="Arial" w:cs="Arial" w:eastAsia="Arial" w:hAnsi="Arial"/>
          <w:sz w:val="24"/>
          <w:szCs w:val="24"/>
        </w:rPr>
        <w:t xml:space="preserve">3) наличие информационной системы, обеспечивающей своевременную обработку данных, учет и хранение информации по каждой транзакции, защиту и хранение данных в системе;</w:t>
      </w:r>
    </w:p>
    <w:p>
      <w:pPr>
        <w:spacing w:after="60"/>
        <w:ind w:firstLine="567"/>
        <w:jc w:val="both"/>
      </w:pPr>
      <w:r>
        <w:rPr>
          <w:rFonts w:ascii="Arial" w:cs="Arial" w:eastAsia="Arial" w:hAnsi="Arial"/>
          <w:sz w:val="24"/>
          <w:szCs w:val="24"/>
        </w:rPr>
        <w:t xml:space="preserve">4) наличие плана по обеспечению непрерывности деятельности, как минимум, для системно-важных модулей системы электронных денег.</w:t>
      </w:r>
    </w:p>
    <w:p>
      <w:pPr>
        <w:spacing w:after="200" w:before="200"/>
        <w:jc w:val="center"/>
      </w:pPr>
      <w:r>
        <w:rPr>
          <w:rFonts w:ascii="Arial" w:cs="Arial" w:eastAsia="Arial" w:hAnsi="Arial"/>
          <w:b/>
          <w:bCs/>
          <w:sz w:val="24"/>
          <w:szCs w:val="24"/>
        </w:rPr>
        <w:t xml:space="preserve">Глава 6. Порядок выдачи лицензии банку на выпуск электронных денег</w:t>
      </w:r>
    </w:p>
    <w:p>
      <w:pPr>
        <w:spacing w:after="200"/>
        <w:jc w:val="center"/>
      </w:pPr>
      <w:r>
        <w:rPr>
          <w:rFonts w:ascii="Arial" w:cs="Arial" w:eastAsia="Arial" w:hAnsi="Arial"/>
          <w:i/>
          <w:iCs/>
          <w:sz w:val="24"/>
          <w:szCs w:val="24"/>
        </w:rPr>
        <w:t xml:space="preserve">(Глава утратила силу 
 в соответствии с </w:t>
      </w:r>
      <w:hyperlink w:history="1" r:id="rIdw_zxxvuanep_m0gmzyxp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104. Банки, осуществляющие выпуск электронных денег, и/или распространение электронных денег международных систем предоставляют в Национальный банк сведения о выпущенных и обслуживаемых ими электронных деньгах, а также о движении денежных средств по ним в соответствии с формами и сроками, установленными в нормативных правовых актах Национального банка.</w:t>
      </w:r>
    </w:p>
    <w:p>
      <w:pPr>
        <w:spacing w:after="60"/>
        <w:ind w:firstLine="567"/>
        <w:jc w:val="both"/>
      </w:pPr>
      <w:r>
        <w:rPr>
          <w:rFonts w:ascii="Arial" w:cs="Arial" w:eastAsia="Arial" w:hAnsi="Arial"/>
          <w:sz w:val="24"/>
          <w:szCs w:val="24"/>
        </w:rPr>
        <w:t xml:space="preserve">105. Банк, агент и оператор электронных денег обязаны осуществлять контроль за соблюдением условий договоров, безопасности проведения операций и правил пользования электронными деньгами.</w:t>
      </w:r>
    </w:p>
    <w:p>
      <w:pPr>
        <w:spacing w:after="60"/>
        <w:ind w:firstLine="567"/>
        <w:jc w:val="both"/>
      </w:pPr>
      <w:r>
        <w:rPr>
          <w:rFonts w:ascii="Arial" w:cs="Arial" w:eastAsia="Arial" w:hAnsi="Arial"/>
          <w:sz w:val="24"/>
          <w:szCs w:val="24"/>
        </w:rPr>
        <w:t xml:space="preserve">106. Банк, агент, оператор электронных денег обязаны осуществлять мониторинг конкретных проводимых им операций по параметрам, установленным правилами соответствующей системы, а также проводить мероприятия для прекращения и/или предотвращения ошибочных и неправомочных операций.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Положению "Об электронных деньгах в Кыргызской Республике"</w:t>
      </w:r>
    </w:p>
    <w:p>
      <w:pPr>
        <w:spacing w:after="400" w:before="400"/>
        <w:jc w:val="center"/>
      </w:pPr>
      <w:r>
        <w:rPr>
          <w:rFonts w:ascii="Arial" w:cs="Arial" w:eastAsia="Arial" w:hAnsi="Arial"/>
          <w:b/>
          <w:bCs/>
          <w:sz w:val="32"/>
          <w:szCs w:val="32"/>
        </w:rPr>
        <w:t xml:space="preserve">ОТЧЕТ
 о деятельности, связанной с выпуском и обращением электронных денег
 за ____ квартал _____ года
 _________________________________________
 (наименование банка, оператора)</w:t>
      </w:r>
    </w:p>
    <w:p>
      <w:pPr>
        <w:spacing w:after="120"/>
        <w:ind w:firstLine="567"/>
        <w:jc w:val="both"/>
      </w:pPr>
      <w:r>
        <w:rPr>
          <w:rFonts w:ascii="Arial" w:cs="Arial" w:eastAsia="Arial" w:hAnsi="Arial"/>
          <w:sz w:val="24"/>
          <w:szCs w:val="24"/>
        </w:rPr>
        <w:t xml:space="preserve">Физические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3"/>
        <w:gridCol w:w="708"/>
        <w:gridCol w:w="1044"/>
        <w:gridCol w:w="934"/>
        <w:gridCol w:w="810"/>
        <w:gridCol w:w="810"/>
        <w:gridCol w:w="810"/>
        <w:gridCol w:w="810"/>
        <w:gridCol w:w="810"/>
        <w:gridCol w:w="810"/>
        <w:gridCol w:w="810"/>
        <w:gridCol w:w="810"/>
      </w:tblGrid>
      <w:tr>
        <w:tc>
          <w:tcPr>
            <w:tcW w:type="dxa" w:w="10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продукта</w:t>
            </w:r>
          </w:p>
        </w:tc>
        <w:tc>
          <w:tcPr>
            <w:tcW w:type="dxa" w:w="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1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пользователей (количество электронных кошельков)</w:t>
            </w:r>
          </w:p>
        </w:tc>
        <w:tc>
          <w:tcPr>
            <w:tcW w:type="dxa" w:w="9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электронных денег на конец отчетного периода</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денежных средств с одного электронного кошелька</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Обналичивание электронных денег</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товары и услуги</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Пополнение электронных кошельков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r>
      <w:tr>
        <w:tc>
          <w:tcPr>
            <w:tcW w:type="dxa" w:w="10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Е-money</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Контактное лицо ____________________________________________________</w:t>
      </w:r>
    </w:p>
    <w:p>
      <w:pPr>
        <w:spacing w:after="60"/>
        <w:ind w:firstLine="567"/>
        <w:jc w:val="both"/>
      </w:pPr>
      <w:r>
        <w:rPr>
          <w:rFonts w:ascii="Arial" w:cs="Arial" w:eastAsia="Arial" w:hAnsi="Arial"/>
          <w:sz w:val="24"/>
          <w:szCs w:val="24"/>
        </w:rPr>
        <w:t xml:space="preserve">(ФИО, номер телефона)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ОТЧЕТ
 о деятельности, связанной с выпуском и обращением электронных денег
 за _____ квартал _____ года
 __________________________________________________
 (наименование банка-эмитента, оператора)</w:t>
      </w:r>
    </w:p>
    <w:p>
      <w:pPr>
        <w:spacing w:after="120"/>
        <w:ind w:firstLine="567"/>
        <w:jc w:val="both"/>
      </w:pPr>
      <w:r>
        <w:rPr>
          <w:rFonts w:ascii="Arial" w:cs="Arial" w:eastAsia="Arial" w:hAnsi="Arial"/>
          <w:sz w:val="24"/>
          <w:szCs w:val="24"/>
        </w:rPr>
        <w:t xml:space="preserve">Юридические лица и индивидуальные предприниматели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629"/>
        <w:gridCol w:w="1146"/>
        <w:gridCol w:w="926"/>
        <w:gridCol w:w="828"/>
        <w:gridCol w:w="719"/>
        <w:gridCol w:w="719"/>
        <w:gridCol w:w="719"/>
        <w:gridCol w:w="719"/>
        <w:gridCol w:w="719"/>
        <w:gridCol w:w="719"/>
        <w:gridCol w:w="719"/>
        <w:gridCol w:w="719"/>
      </w:tblGrid>
      <w:tr>
        <w:tc>
          <w:tcPr>
            <w:tcW w:type="dxa" w:w="9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продукта</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Типы юр. лиц и индивидуальных предпринимателей</w:t>
            </w:r>
          </w:p>
        </w:tc>
        <w:tc>
          <w:tcPr>
            <w:tcW w:type="dxa" w:w="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пользователей (количество электронных кошельков)</w:t>
            </w:r>
          </w:p>
        </w:tc>
        <w:tc>
          <w:tcPr>
            <w:tcW w:type="dxa" w:w="8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электронных денег на конец отчетного периода</w:t>
            </w:r>
          </w:p>
        </w:tc>
        <w:tc>
          <w:tcPr>
            <w:tcW w:type="dxa" w:w="14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денежных средств с одного электронного кошелька</w:t>
            </w:r>
          </w:p>
        </w:tc>
        <w:tc>
          <w:tcPr>
            <w:tcW w:type="dxa" w:w="14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Обналичивание электронных денег</w:t>
            </w:r>
          </w:p>
        </w:tc>
        <w:tc>
          <w:tcPr>
            <w:tcW w:type="dxa" w:w="14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товары и услуги</w:t>
            </w:r>
          </w:p>
        </w:tc>
        <w:tc>
          <w:tcPr>
            <w:tcW w:type="dxa" w:w="14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Пополнение электронных кошельков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транзакций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транзакций</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Е-money</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Агенты</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Акцептанты</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Контактное лицо ____________________________________________________________</w:t>
      </w:r>
    </w:p>
    <w:p>
      <w:pPr>
        <w:spacing w:after="60"/>
        <w:ind w:firstLine="567"/>
        <w:jc w:val="both"/>
      </w:pPr>
      <w:r>
        <w:rPr>
          <w:rFonts w:ascii="Arial" w:cs="Arial" w:eastAsia="Arial" w:hAnsi="Arial"/>
          <w:sz w:val="24"/>
          <w:szCs w:val="24"/>
        </w:rPr>
        <w:t xml:space="preserve">(ФИО, номер телефона)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____________________________________________________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электронных деньгах в Кыргызской Республике"</w:t>
      </w:r>
    </w:p>
    <w:p>
      <w:pPr>
        <w:spacing w:after="60" w:before="24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_____
 на право выпуска электронных денег</w:t>
      </w:r>
    </w:p>
    <w:p>
      <w:pPr>
        <w:spacing w:after="200"/>
        <w:jc w:val="center"/>
      </w:pPr>
      <w:r>
        <w:rPr>
          <w:rFonts w:ascii="Arial" w:cs="Arial" w:eastAsia="Arial" w:hAnsi="Arial"/>
          <w:i/>
          <w:iCs/>
          <w:sz w:val="24"/>
          <w:szCs w:val="24"/>
        </w:rPr>
        <w:t xml:space="preserve">(Утратила силу 
 в соответствии с </w:t>
      </w:r>
      <w:hyperlink w:history="1" r:id="rId13f1evr6_ar0rzk7e4wk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xqv7xcuoerfzqaonwji">
      <w:r>
        <w:rPr>
          <w:rFonts w:ascii="Arial" w:cs="Arial" w:eastAsia="Arial" w:hAnsi="Arial"/>
          <w:color w:val="132D3F"/>
          <w:sz w:val="16"/>
          <w:szCs w:val="16"/>
          <w:u w:val="single"/>
        </w:rPr>
        <w:t xml:space="preserve">dalil.kg/document/800046</w:t>
      </w:r>
    </w:hyperlink>
  </w:p>
  <w:p>
    <w:pPr>
      <w:spacing w:after="0" w:before="40"/>
      <w:jc w:val="center"/>
    </w:pPr>
    <w:hyperlink w:history="1" r:id="rIdmzg1uxh41ucvdv6cx3_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760rovxztdcmbpogfstm" Type="http://schemas.openxmlformats.org/officeDocument/2006/relationships/hyperlink" Target="https://dalil.kg/document/800046" TargetMode="External"/><Relationship Id="rIdrwnmlrtchjvhrgdnn3q_l" Type="http://schemas.openxmlformats.org/officeDocument/2006/relationships/hyperlink" Target="https://dalil.kg/document/800048" TargetMode="External"/><Relationship Id="rIdhe9qr28m-cai7_8nl0lbn" Type="http://schemas.openxmlformats.org/officeDocument/2006/relationships/hyperlink" Target="https://dalil.kg/document/800044" TargetMode="External"/><Relationship Id="rId0pp9w9r6p-ydcfd8poumd" Type="http://schemas.openxmlformats.org/officeDocument/2006/relationships/hyperlink" Target="https://dalil.kg/document/800249" TargetMode="External"/><Relationship Id="rIdzgkt-w24y4skh3mx-idz0" Type="http://schemas.openxmlformats.org/officeDocument/2006/relationships/hyperlink" Target="https://dalil.kg/document/800048" TargetMode="External"/><Relationship Id="rIdboihiptpbshfamhhpnyap" Type="http://schemas.openxmlformats.org/officeDocument/2006/relationships/hyperlink" Target="https://dalil.kg/document/800048" TargetMode="External"/><Relationship Id="rIdwwvqqit2-ooibhhjddoim" Type="http://schemas.openxmlformats.org/officeDocument/2006/relationships/hyperlink" Target="https://dalil.kg/document/800048" TargetMode="External"/><Relationship Id="rIdgxx6gwbfdq-gnnlaw747o" Type="http://schemas.openxmlformats.org/officeDocument/2006/relationships/hyperlink" Target="https://dalil.kg/document/800048" TargetMode="External"/><Relationship Id="rIdnjzh4nerldif_06grmcef" Type="http://schemas.openxmlformats.org/officeDocument/2006/relationships/hyperlink" Target="https://dalil.kg/document/800048" TargetMode="External"/><Relationship Id="rIdgqmsybxhsa11u9n32cteg" Type="http://schemas.openxmlformats.org/officeDocument/2006/relationships/hyperlink" Target="https://dalil.kg/document/800048" TargetMode="External"/><Relationship Id="rIdocaugehczkjkuzvuqn2_m" Type="http://schemas.openxmlformats.org/officeDocument/2006/relationships/hyperlink" Target="https://dalil.kg/document/800044" TargetMode="External"/><Relationship Id="rId__o8gxx8rn3ms-nkcuoah" Type="http://schemas.openxmlformats.org/officeDocument/2006/relationships/hyperlink" Target="https://dalil.kg/document/800249" TargetMode="External"/><Relationship Id="rIdkvlsoli9hnrqtyzdrhsau" Type="http://schemas.openxmlformats.org/officeDocument/2006/relationships/hyperlink" Target="https://dalil.kg/document/205425" TargetMode="External"/><Relationship Id="rIdbqgqq3z2sopqdkox44bli" Type="http://schemas.openxmlformats.org/officeDocument/2006/relationships/hyperlink" Target="https://dalil.kg/document/800048" TargetMode="External"/><Relationship Id="rId3habi3wxq27iqw4pvdkef" Type="http://schemas.openxmlformats.org/officeDocument/2006/relationships/hyperlink" Target="https://dalil.kg/document/800249" TargetMode="External"/><Relationship Id="rIdm8-3ht2l_bff6d1wks8iz" Type="http://schemas.openxmlformats.org/officeDocument/2006/relationships/hyperlink" Target="https://dalil.kg/document/800249" TargetMode="External"/><Relationship Id="rId2ewhuzuilfqgsfu1dvr1l" Type="http://schemas.openxmlformats.org/officeDocument/2006/relationships/hyperlink" Target="https://dalil.kg/document/800044" TargetMode="External"/><Relationship Id="rIdjykcodpce84dzoyjd7vxe" Type="http://schemas.openxmlformats.org/officeDocument/2006/relationships/hyperlink" Target="https://dalil.kg/document/800044" TargetMode="External"/><Relationship Id="rId5oytx_ceyvxpvk2ypodhe" Type="http://schemas.openxmlformats.org/officeDocument/2006/relationships/hyperlink" Target="https://dalil.kg/document/800044" TargetMode="External"/><Relationship Id="rIdkcyblmqp3x3eumjl9xax5" Type="http://schemas.openxmlformats.org/officeDocument/2006/relationships/hyperlink" Target="https://dalil.kg/document/800048" TargetMode="External"/><Relationship Id="rIdxzu3o2tmv_2de3ih8xdkm" Type="http://schemas.openxmlformats.org/officeDocument/2006/relationships/hyperlink" Target="https://dalil.kg/document/800048" TargetMode="External"/><Relationship Id="rId-pg_fbdhshvxsomc2fkpq" Type="http://schemas.openxmlformats.org/officeDocument/2006/relationships/hyperlink" Target="https://dalil.kg/document/800048" TargetMode="External"/><Relationship Id="rIdmuxdwnzr-yhcv7r3r7aie" Type="http://schemas.openxmlformats.org/officeDocument/2006/relationships/hyperlink" Target="https://dalil.kg/document/800044" TargetMode="External"/><Relationship Id="rIdv5t0qi9olafpchh0ajrea" Type="http://schemas.openxmlformats.org/officeDocument/2006/relationships/hyperlink" Target="https://dalil.kg/document/800048" TargetMode="External"/><Relationship Id="rIdk3inxrzfdhrk2ndwblmm0" Type="http://schemas.openxmlformats.org/officeDocument/2006/relationships/hyperlink" Target="https://dalil.kg/document/800046#p1" TargetMode="External"/><Relationship Id="rIdyck3ig6kzyhmj9etd1uz4" Type="http://schemas.openxmlformats.org/officeDocument/2006/relationships/hyperlink" Target="https://dalil.kg/document/800048" TargetMode="External"/><Relationship Id="rId-ymfbko1lrzauzutpckyy" Type="http://schemas.openxmlformats.org/officeDocument/2006/relationships/hyperlink" Target="https://dalil.kg/document/800048" TargetMode="External"/><Relationship Id="rIdj7zjodc-umxnp4mwm0cic" Type="http://schemas.openxmlformats.org/officeDocument/2006/relationships/hyperlink" Target="https://dalil.kg/document/800048" TargetMode="External"/><Relationship Id="rIdvjitxsq03kgmn22oqbgdn" Type="http://schemas.openxmlformats.org/officeDocument/2006/relationships/hyperlink" Target="https://dalil.kg/document/800045" TargetMode="External"/><Relationship Id="rIdiacb1meovnzbfdzmk33fr" Type="http://schemas.openxmlformats.org/officeDocument/2006/relationships/hyperlink" Target="https://dalil.kg/document/800048" TargetMode="External"/><Relationship Id="rIdrhfgdd-8dew8xm1k3bjhp" Type="http://schemas.openxmlformats.org/officeDocument/2006/relationships/hyperlink" Target="https://dalil.kg/document/800048" TargetMode="External"/><Relationship Id="rIdx_oyv8iha1mzypmcz2r_f" Type="http://schemas.openxmlformats.org/officeDocument/2006/relationships/hyperlink" Target="https://dalil.kg/document/800048" TargetMode="External"/><Relationship Id="rIdtv_21hwnfyd9woowtzovh" Type="http://schemas.openxmlformats.org/officeDocument/2006/relationships/hyperlink" Target="https://dalil.kg/document/800048" TargetMode="External"/><Relationship Id="rId4gau66cvqnwkywlimu99l" Type="http://schemas.openxmlformats.org/officeDocument/2006/relationships/hyperlink" Target="https://dalil.kg/document/800048" TargetMode="External"/><Relationship Id="rIdlnncsk2lx2owiextz6dq8" Type="http://schemas.openxmlformats.org/officeDocument/2006/relationships/hyperlink" Target="https://dalil.kg/document/800048" TargetMode="External"/><Relationship Id="rId1njciw8hy2t1jyqw8jox2" Type="http://schemas.openxmlformats.org/officeDocument/2006/relationships/hyperlink" Target="https://dalil.kg/document/800048" TargetMode="External"/><Relationship Id="rIdqd_cfzcn6cvewv_5zn1wr" Type="http://schemas.openxmlformats.org/officeDocument/2006/relationships/hyperlink" Target="https://dalil.kg/document/800048" TargetMode="External"/><Relationship Id="rIdenvpyxtiz2zlijcvvaaeq" Type="http://schemas.openxmlformats.org/officeDocument/2006/relationships/hyperlink" Target="https://dalil.kg/document/800048" TargetMode="External"/><Relationship Id="rIdiekkookb-nvobra-pis1m" Type="http://schemas.openxmlformats.org/officeDocument/2006/relationships/hyperlink" Target="https://dalil.kg/document/800048" TargetMode="External"/><Relationship Id="rId-qy4tqr5j7ldfc9eq1m67" Type="http://schemas.openxmlformats.org/officeDocument/2006/relationships/hyperlink" Target="https://dalil.kg/document/800048" TargetMode="External"/><Relationship Id="rIdfpbtrtzjq1qpyeqyskzfg" Type="http://schemas.openxmlformats.org/officeDocument/2006/relationships/hyperlink" Target="https://dalil.kg/document/800046#p1" TargetMode="External"/><Relationship Id="rIdw_zxxvuanep_m0gmzyxpk" Type="http://schemas.openxmlformats.org/officeDocument/2006/relationships/hyperlink" Target="https://dalil.kg/document/800048" TargetMode="External"/><Relationship Id="rId13f1evr6_ar0rzk7e4wk4" Type="http://schemas.openxmlformats.org/officeDocument/2006/relationships/hyperlink" Target="https://dalil.kg/document/800048"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xqv7xcuoerfzqaonwji" Type="http://schemas.openxmlformats.org/officeDocument/2006/relationships/hyperlink" Target="https://dalil.kg/document/800046" TargetMode="External"/><Relationship Id="rIdmzg1uxh41ucvdv6cx3_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2026-09-25T09:46:41.567Z</dcterms:created>
  <dcterms:modified xsi:type="dcterms:W3CDTF">2026-09-25T09:46:41.567Z</dcterms:modified>
</cp:coreProperties>
</file>

<file path=docProps/custom.xml><?xml version="1.0" encoding="utf-8"?>
<Properties xmlns="http://schemas.openxmlformats.org/officeDocument/2006/custom-properties" xmlns:vt="http://schemas.openxmlformats.org/officeDocument/2006/docPropsVTypes"/>
</file>