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28 февраля 2018 года № 2018-П-12/7-8-(НПА)</w:t>
      </w:r>
    </w:p>
    <w:p>
      <w:pPr>
        <w:spacing w:after="120"/>
        <w:jc w:val="both"/>
      </w:pPr>
      <w:r>
        <w:rPr>
          <w:rFonts w:ascii="Arial" w:cs="Arial" w:eastAsia="Arial" w:hAnsi="Arial"/>
          <w:sz w:val="24"/>
          <w:szCs w:val="24"/>
        </w:rPr>
        <w:t xml:space="preserve">О внесении изменений в постановление Правления Национального банка Кыргызской Республики "Об утверждении Положения об экономических нормативах и требованиях, обязательных для выполнения коммерческими банками Кыргызской Республики" от 21 июля 2004 года № 18/1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68</w:t>
      </w:r>
      <w:r>
        <w:rPr>
          <w:rFonts w:ascii="Arial" w:cs="Arial" w:eastAsia="Arial" w:hAnsi="Arial"/>
          <w:sz w:val="24"/>
          <w:szCs w:val="24"/>
        </w:rPr>
        <w:t xml:space="preserve"> и </w:t>
      </w:r>
      <w:r>
        <w:rPr>
          <w:rFonts w:ascii="Arial" w:cs="Arial" w:eastAsia="Arial" w:hAnsi="Arial"/>
          <w:sz w:val="24"/>
          <w:szCs w:val="24"/>
        </w:rPr>
        <w:t xml:space="preserve">136</w:t>
      </w:r>
      <w:r>
        <w:rPr>
          <w:rFonts w:ascii="Arial" w:cs="Arial" w:eastAsia="Arial" w:hAnsi="Arial"/>
          <w:sz w:val="24"/>
          <w:szCs w:val="24"/>
        </w:rPr>
        <w:t xml:space="preserve"> </w:t>
      </w:r>
      <w:hyperlink w:history="1" r:id="rIdn77hgfy5xdepvi7j0qsr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банках и банковской деятельности" Правление Национального банка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изменения в </w:t>
      </w:r>
      <w:hyperlink w:history="1" r:id="rId7v8-9bavcy0o29g6jn7k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zucqztyxcydynmjogaad2">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Кыргызской Республики" от 21 июля 2004 года № 18/1 (</w:t>
      </w:r>
      <w:hyperlink w:history="1" r:id="rIdgnkzjwlrq8j-vs9xyd778">
        <w:r>
          <w:rPr>
            <w:rFonts w:ascii="Arial" w:cs="Arial" w:eastAsia="Arial" w:hAnsi="Arial"/>
            <w:color w:val="1D4ED8"/>
            <w:sz w:val="24"/>
            <w:szCs w:val="24"/>
            <w:u w:val="single"/>
          </w:rPr>
          <w:t xml:space="preserve">прилагаются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3.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4. Управлению методологии надзора и лицензирования довести настоящее постановление до сведения коммерческих банков, ОЮЛ "Союз банков Кыргызстана", Государственного банка развития Кыргызской Республики, областных управлений и представительства Национального банка Кыргызской Республики в Баткенской области.</w:t>
      </w:r>
    </w:p>
    <w:p>
      <w:pPr>
        <w:spacing w:after="60"/>
        <w:ind w:firstLine="567"/>
        <w:jc w:val="both"/>
      </w:pPr>
      <w:r>
        <w:rPr>
          <w:rFonts w:ascii="Arial" w:cs="Arial" w:eastAsia="Arial" w:hAnsi="Arial"/>
          <w:sz w:val="24"/>
          <w:szCs w:val="24"/>
        </w:rPr>
        <w:t xml:space="preserve">5. Контроль за исполнением настоящего постановления возложить на члена Правления Национального банка Кыргызской Республики Джусупова Т.Дж.</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 Председателя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Н.Жениш</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r>
        <w:rPr>
          <w:rFonts w:ascii="Arial" w:cs="Arial" w:eastAsia="Arial" w:hAnsi="Arial"/>
          <w:sz w:val="24"/>
          <w:szCs w:val="24"/>
        </w:rPr>
        <w:t xml:space="preserve">
 к постановлению Правления Национального банка Кыргызской Республики
 от 28 февраля 2018 года № 2018-П-12/7-8-(НПА)</w:t>
      </w:r>
    </w:p>
    <w:p>
      <w:pPr>
        <w:spacing w:after="400" w:before="400"/>
        <w:jc w:val="center"/>
      </w:pPr>
      <w:r>
        <w:rPr>
          <w:rFonts w:ascii="Arial" w:cs="Arial" w:eastAsia="Arial" w:hAnsi="Arial"/>
          <w:b/>
          <w:bCs/>
          <w:sz w:val="32"/>
          <w:szCs w:val="32"/>
        </w:rPr>
        <w:t xml:space="preserve">ИЗМЕНЕНИЯ</w:t>
      </w:r>
      <w:r>
        <w:rPr>
          <w:rFonts w:ascii="Arial" w:cs="Arial" w:eastAsia="Arial" w:hAnsi="Arial"/>
          <w:b/>
          <w:bCs/>
          <w:sz w:val="32"/>
          <w:szCs w:val="32"/>
        </w:rPr>
        <w:t xml:space="preserve">
 в постановление Правления Национального банка Кыргызской Республики "Об утверждении Положения об экономических нормативах и требованиях, обязательных для выполнения коммерческими банками Кыргызской Республики" от 21 июля 2004 года № 18/1</w:t>
      </w:r>
    </w:p>
    <w:p>
      <w:pPr>
        <w:spacing w:after="60"/>
        <w:ind w:firstLine="567"/>
        <w:jc w:val="both"/>
      </w:pPr>
      <w:r>
        <w:rPr>
          <w:rFonts w:ascii="Arial" w:cs="Arial" w:eastAsia="Arial" w:hAnsi="Arial"/>
          <w:sz w:val="24"/>
          <w:szCs w:val="24"/>
        </w:rPr>
        <w:t xml:space="preserve">1. Внести в </w:t>
      </w:r>
      <w:hyperlink w:history="1" r:id="rIdezi_02y4mmg1ialemqfj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ikobpz_fqrzfy33hizqbt">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Кыргызской Республики" от 21 июля 2004 года № 18/1 следующие изменения:</w:t>
      </w:r>
    </w:p>
    <w:p>
      <w:pPr>
        <w:spacing w:after="60"/>
        <w:ind w:firstLine="567"/>
        <w:jc w:val="both"/>
      </w:pPr>
      <w:r>
        <w:rPr>
          <w:rFonts w:ascii="Arial" w:cs="Arial" w:eastAsia="Arial" w:hAnsi="Arial"/>
          <w:sz w:val="24"/>
          <w:szCs w:val="24"/>
        </w:rPr>
        <w:t xml:space="preserve">в </w:t>
      </w:r>
      <w:hyperlink w:history="1" r:id="rIdzrvnusxszr7ovhnk1fcop">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Кыргызской Республики, утвержденном вышеуказанным </w:t>
      </w:r>
      <w:hyperlink w:history="1" r:id="rIdg9-ul7svlgh69l_3ihhp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4.2:</w:t>
      </w:r>
    </w:p>
    <w:p>
      <w:pPr>
        <w:spacing w:after="60"/>
        <w:ind w:firstLine="567"/>
        <w:jc w:val="both"/>
      </w:pPr>
      <w:r>
        <w:rPr>
          <w:rFonts w:ascii="Arial" w:cs="Arial" w:eastAsia="Arial" w:hAnsi="Arial"/>
          <w:sz w:val="24"/>
          <w:szCs w:val="24"/>
        </w:rPr>
        <w:t xml:space="preserve">абзацы седьмой и восьмой в подпункте 1 изложить в следующей редакции:</w:t>
      </w:r>
    </w:p>
    <w:p>
      <w:pPr>
        <w:spacing w:after="60"/>
        <w:ind w:firstLine="567"/>
        <w:jc w:val="both"/>
      </w:pPr>
      <w:r>
        <w:rPr>
          <w:rFonts w:ascii="Arial" w:cs="Arial" w:eastAsia="Arial" w:hAnsi="Arial"/>
          <w:sz w:val="24"/>
          <w:szCs w:val="24"/>
        </w:rPr>
        <w:t xml:space="preserve">"- золотые мерные слитки, эмитированные Национальным банком Кыргызской Республики;</w:t>
      </w:r>
    </w:p>
    <w:p>
      <w:pPr>
        <w:spacing w:after="60"/>
        <w:ind w:firstLine="567"/>
        <w:jc w:val="both"/>
      </w:pPr>
      <w:r>
        <w:rPr>
          <w:rFonts w:ascii="Arial" w:cs="Arial" w:eastAsia="Arial" w:hAnsi="Arial"/>
          <w:sz w:val="24"/>
          <w:szCs w:val="24"/>
        </w:rPr>
        <w:t xml:space="preserve">- депозиты в банках, имеющие долгосрочный кредитный рейтинг не ниже уровня "ВВ" или "Ва2", присвоенный одним из рейтинговых агентств Standard and Poor's, Fitch Ratings, Moody's Investors Service, Japan Credit Rating Agency (JCR), Dominion Bond Rating Service (DBRS), за исключением аффилированных банков, если условиями договора предусмотрена возможность изъятия депозита в течение 7 дней;";</w:t>
      </w:r>
    </w:p>
    <w:p>
      <w:pPr>
        <w:spacing w:after="60"/>
        <w:ind w:firstLine="567"/>
        <w:jc w:val="both"/>
      </w:pPr>
      <w:r>
        <w:rPr>
          <w:rFonts w:ascii="Arial" w:cs="Arial" w:eastAsia="Arial" w:hAnsi="Arial"/>
          <w:sz w:val="24"/>
          <w:szCs w:val="24"/>
        </w:rPr>
        <w:t xml:space="preserve">абзацы второй и третий подпункта 2 изложить в следующей редакции:</w:t>
      </w:r>
    </w:p>
    <w:p>
      <w:pPr>
        <w:spacing w:after="60"/>
        <w:ind w:firstLine="567"/>
        <w:jc w:val="both"/>
      </w:pPr>
      <w:r>
        <w:rPr>
          <w:rFonts w:ascii="Arial" w:cs="Arial" w:eastAsia="Arial" w:hAnsi="Arial"/>
          <w:sz w:val="24"/>
          <w:szCs w:val="24"/>
        </w:rPr>
        <w:t xml:space="preserve">"- депозиты до востребования юридических и физических лиц в национальной и иностранной валюте, за исключением неснижаемого остатка, установленного договором (которым нельзя распоряжаться до расторжения договора), а также денежные средства в расчетах;</w:t>
      </w:r>
    </w:p>
    <w:p>
      <w:pPr>
        <w:spacing w:after="60"/>
        <w:ind w:firstLine="567"/>
        <w:jc w:val="both"/>
      </w:pPr>
      <w:r>
        <w:rPr>
          <w:rFonts w:ascii="Arial" w:cs="Arial" w:eastAsia="Arial" w:hAnsi="Arial"/>
          <w:sz w:val="24"/>
          <w:szCs w:val="24"/>
        </w:rPr>
        <w:t xml:space="preserve">- сумма срочного вклада (депозита), если условиями договора предусмотрена возможность частичного пополнения и частичного изъятия клиентом денежных средств до истечения срока или до наступления иных обязательств, без необходимости расторжения договора и оплаты штрафной процентной ставки, за исключением неснижаемого остатка, установленного договором;";</w:t>
      </w:r>
    </w:p>
    <w:p>
      <w:pPr>
        <w:spacing w:after="60"/>
        <w:ind w:firstLine="567"/>
        <w:jc w:val="both"/>
      </w:pPr>
      <w:r>
        <w:rPr>
          <w:rFonts w:ascii="Arial" w:cs="Arial" w:eastAsia="Arial" w:hAnsi="Arial"/>
          <w:sz w:val="24"/>
          <w:szCs w:val="24"/>
        </w:rPr>
        <w:t xml:space="preserve">- в пункте 4.9:</w:t>
      </w:r>
    </w:p>
    <w:p>
      <w:pPr>
        <w:spacing w:after="60"/>
        <w:ind w:firstLine="567"/>
        <w:jc w:val="both"/>
      </w:pPr>
      <w:r>
        <w:rPr>
          <w:rFonts w:ascii="Arial" w:cs="Arial" w:eastAsia="Arial" w:hAnsi="Arial"/>
          <w:sz w:val="24"/>
          <w:szCs w:val="24"/>
        </w:rPr>
        <w:t xml:space="preserve">в абзаце "е" подпункта 1 слова "со сроком погашения до 7 дней" заменить словами "срок погашения которых наступает в течение 12 месяцев";</w:t>
      </w:r>
    </w:p>
    <w:p>
      <w:pPr>
        <w:spacing w:after="60"/>
        <w:ind w:firstLine="567"/>
        <w:jc w:val="both"/>
      </w:pPr>
      <w:r>
        <w:rPr>
          <w:rFonts w:ascii="Arial" w:cs="Arial" w:eastAsia="Arial" w:hAnsi="Arial"/>
          <w:sz w:val="24"/>
          <w:szCs w:val="24"/>
        </w:rPr>
        <w:t xml:space="preserve">абзац "м" подпункта 1 признать утратившим силу;</w:t>
      </w:r>
    </w:p>
    <w:p>
      <w:pPr>
        <w:spacing w:after="60"/>
        <w:ind w:firstLine="567"/>
        <w:jc w:val="both"/>
      </w:pPr>
      <w:r>
        <w:rPr>
          <w:rFonts w:ascii="Arial" w:cs="Arial" w:eastAsia="Arial" w:hAnsi="Arial"/>
          <w:sz w:val="24"/>
          <w:szCs w:val="24"/>
        </w:rPr>
        <w:t xml:space="preserve">абзацы "а" и "б" подпункта 2 изложить в следующей редакции:</w:t>
      </w:r>
    </w:p>
    <w:p>
      <w:pPr>
        <w:spacing w:after="60"/>
        <w:ind w:firstLine="567"/>
        <w:jc w:val="both"/>
      </w:pPr>
      <w:r>
        <w:rPr>
          <w:rFonts w:ascii="Arial" w:cs="Arial" w:eastAsia="Arial" w:hAnsi="Arial"/>
          <w:sz w:val="24"/>
          <w:szCs w:val="24"/>
        </w:rPr>
        <w:t xml:space="preserve">"а) депозиты до востребования юридических и физических лиц в национальной и иностранной валюте, за исключением неснижаемого остатка, установленного договором (которыми нельзя распоряжаться до расторжения договора), а также денежные средства в расчетах;</w:t>
      </w:r>
    </w:p>
    <w:p>
      <w:pPr>
        <w:spacing w:after="60"/>
        <w:ind w:firstLine="567"/>
        <w:jc w:val="both"/>
      </w:pPr>
      <w:r>
        <w:rPr>
          <w:rFonts w:ascii="Arial" w:cs="Arial" w:eastAsia="Arial" w:hAnsi="Arial"/>
          <w:sz w:val="24"/>
          <w:szCs w:val="24"/>
        </w:rPr>
        <w:t xml:space="preserve">б) сумма срочного вклада (депозита), если условиями договора предусмотрена возможность частичного пополнения и частичного изъятия клиентом денежных средств до истечения срока или до наступления иных обязательств, без необходимости расторжения договора и оплаты штрафной процентной ставки, за исключением неснижаемого остатка, установленного договором;";</w:t>
      </w:r>
    </w:p>
    <w:p>
      <w:pPr>
        <w:spacing w:after="60"/>
        <w:ind w:firstLine="567"/>
        <w:jc w:val="both"/>
      </w:pPr>
      <w:r>
        <w:rPr>
          <w:rFonts w:ascii="Arial" w:cs="Arial" w:eastAsia="Arial" w:hAnsi="Arial"/>
          <w:sz w:val="24"/>
          <w:szCs w:val="24"/>
        </w:rPr>
        <w:t xml:space="preserve">- пункт 4.13 изложить в следующей редакции:</w:t>
      </w:r>
    </w:p>
    <w:p>
      <w:pPr>
        <w:spacing w:after="60"/>
        <w:ind w:firstLine="567"/>
        <w:jc w:val="both"/>
      </w:pPr>
      <w:r>
        <w:rPr>
          <w:rFonts w:ascii="Arial" w:cs="Arial" w:eastAsia="Arial" w:hAnsi="Arial"/>
          <w:sz w:val="24"/>
          <w:szCs w:val="24"/>
        </w:rPr>
        <w:t xml:space="preserve">"4.13. Норматив (показатель) мгновенной ликвидности (К3.3)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К3.3 = (ВЛА / КОБ) * 100%,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ВЛА - высоколиквидные активы:</w:t>
      </w:r>
    </w:p>
    <w:p>
      <w:pPr>
        <w:spacing w:after="60"/>
        <w:ind w:firstLine="567"/>
        <w:jc w:val="both"/>
      </w:pPr>
      <w:r>
        <w:rPr>
          <w:rFonts w:ascii="Arial" w:cs="Arial" w:eastAsia="Arial" w:hAnsi="Arial"/>
          <w:sz w:val="24"/>
          <w:szCs w:val="24"/>
        </w:rPr>
        <w:t xml:space="preserve">- наличные денежные средства в кассе и банкоматах банка в национальной и иностранной валюте;</w:t>
      </w:r>
    </w:p>
    <w:p>
      <w:pPr>
        <w:spacing w:after="60"/>
        <w:ind w:firstLine="567"/>
        <w:jc w:val="both"/>
      </w:pPr>
      <w:r>
        <w:rPr>
          <w:rFonts w:ascii="Arial" w:cs="Arial" w:eastAsia="Arial" w:hAnsi="Arial"/>
          <w:sz w:val="24"/>
          <w:szCs w:val="24"/>
        </w:rPr>
        <w:t xml:space="preserve">- средства на корреспондентском и других счетах в Национальном банке Кыргызской Республики;</w:t>
      </w:r>
    </w:p>
    <w:p>
      <w:pPr>
        <w:spacing w:after="60"/>
        <w:ind w:firstLine="567"/>
        <w:jc w:val="both"/>
      </w:pPr>
      <w:r>
        <w:rPr>
          <w:rFonts w:ascii="Arial" w:cs="Arial" w:eastAsia="Arial" w:hAnsi="Arial"/>
          <w:sz w:val="24"/>
          <w:szCs w:val="24"/>
        </w:rPr>
        <w:t xml:space="preserve">- средства на корреспондентских счетах в банках, имеющих долгосрочный кредитный рейтинг не ниже уровня "ВВ" или "Ва2", присвоенный одним из рейтинговых агентств Standard and Poor's, Fitch Ratings, Moody's Investors Service, Japan Credit Rating Agency (JCR), Dominion Bond Rating Service (DBRS), за исключением аффилированных банков;</w:t>
      </w:r>
    </w:p>
    <w:p>
      <w:pPr>
        <w:spacing w:after="60"/>
        <w:ind w:firstLine="567"/>
        <w:jc w:val="both"/>
      </w:pPr>
      <w:r>
        <w:rPr>
          <w:rFonts w:ascii="Arial" w:cs="Arial" w:eastAsia="Arial" w:hAnsi="Arial"/>
          <w:sz w:val="24"/>
          <w:szCs w:val="24"/>
        </w:rPr>
        <w:t xml:space="preserve">- 20 процентов средств на корреспондентских счетах в других банках, за исключением аффилированных банков, банков, указанных в абзаце четвертом подпункта 1 настоящего пункта, а также банков, в которых введен прямой банковский надзор либо осуществляется процедура ликвидации;</w:t>
      </w:r>
    </w:p>
    <w:p>
      <w:pPr>
        <w:spacing w:after="60"/>
        <w:ind w:firstLine="567"/>
        <w:jc w:val="both"/>
      </w:pPr>
      <w:r>
        <w:rPr>
          <w:rFonts w:ascii="Arial" w:cs="Arial" w:eastAsia="Arial" w:hAnsi="Arial"/>
          <w:sz w:val="24"/>
          <w:szCs w:val="24"/>
        </w:rPr>
        <w:t xml:space="preserve">- для филиала зарубежного банка - средства на корреспондентских счетах в других филиалах данного зарубежного банка, расположенных на территории государств-членов ОЭСР и открытых в валюте указанных государств;</w:t>
      </w:r>
    </w:p>
    <w:p>
      <w:pPr>
        <w:spacing w:after="60"/>
        <w:ind w:firstLine="567"/>
        <w:jc w:val="both"/>
      </w:pPr>
      <w:r>
        <w:rPr>
          <w:rFonts w:ascii="Arial" w:cs="Arial" w:eastAsia="Arial" w:hAnsi="Arial"/>
          <w:sz w:val="24"/>
          <w:szCs w:val="24"/>
        </w:rPr>
        <w:t xml:space="preserve">- ноты Национального банка Кыргызской Республики, за исключением нот, являющихся обеспечением по обязательствам банка, а также проданных по репо-соглашению;</w:t>
      </w:r>
    </w:p>
    <w:p>
      <w:pPr>
        <w:spacing w:after="60"/>
        <w:ind w:firstLine="567"/>
        <w:jc w:val="both"/>
      </w:pPr>
      <w:r>
        <w:rPr>
          <w:rFonts w:ascii="Arial" w:cs="Arial" w:eastAsia="Arial" w:hAnsi="Arial"/>
          <w:sz w:val="24"/>
          <w:szCs w:val="24"/>
        </w:rPr>
        <w:t xml:space="preserve">- государственные ценные бумаги, выпущенные Правительством Кыргызской Республики срок погашения которых наступает в течение 7 дней, за исключением государственных ценных бумаг, являющихся обеспечением по обязательствам банка, а также проданных по репо-соглашению;</w:t>
      </w:r>
    </w:p>
    <w:p>
      <w:pPr>
        <w:spacing w:after="60"/>
        <w:ind w:firstLine="567"/>
        <w:jc w:val="both"/>
      </w:pPr>
      <w:r>
        <w:rPr>
          <w:rFonts w:ascii="Arial" w:cs="Arial" w:eastAsia="Arial" w:hAnsi="Arial"/>
          <w:sz w:val="24"/>
          <w:szCs w:val="24"/>
        </w:rPr>
        <w:t xml:space="preserve">- депозиты "овернайт" в банках, имеющие долгосрочный кредитный рейтинг не ниже уровня "ВВ" или "Ва2", присвоенный одним из рейтинговых агентств Standard and Poor's, Fitch Ratings, Moody's Investors Service, Japan Credit Rating Agency (JCR), Dominion Bond Rating Service (DBRS), за исключением аффилированных банков, погашение по которым наступает в течение следующего (одного) операционного дня;</w:t>
      </w:r>
    </w:p>
    <w:p>
      <w:pPr>
        <w:spacing w:after="60"/>
        <w:ind w:firstLine="567"/>
        <w:jc w:val="both"/>
      </w:pPr>
      <w:r>
        <w:rPr>
          <w:rFonts w:ascii="Arial" w:cs="Arial" w:eastAsia="Arial" w:hAnsi="Arial"/>
          <w:sz w:val="24"/>
          <w:szCs w:val="24"/>
        </w:rPr>
        <w:t xml:space="preserve">2) КОБ - краткосрочные обязательства:</w:t>
      </w:r>
    </w:p>
    <w:p>
      <w:pPr>
        <w:spacing w:after="60"/>
        <w:ind w:firstLine="567"/>
        <w:jc w:val="both"/>
      </w:pPr>
      <w:r>
        <w:rPr>
          <w:rFonts w:ascii="Arial" w:cs="Arial" w:eastAsia="Arial" w:hAnsi="Arial"/>
          <w:sz w:val="24"/>
          <w:szCs w:val="24"/>
        </w:rPr>
        <w:t xml:space="preserve">- депозиты до востребования юридических и физических лиц в национальной и иностранной валюте, денежные средства в расчетах;</w:t>
      </w:r>
    </w:p>
    <w:p>
      <w:pPr>
        <w:spacing w:after="60"/>
        <w:ind w:firstLine="567"/>
        <w:jc w:val="both"/>
      </w:pPr>
      <w:r>
        <w:rPr>
          <w:rFonts w:ascii="Arial" w:cs="Arial" w:eastAsia="Arial" w:hAnsi="Arial"/>
          <w:sz w:val="24"/>
          <w:szCs w:val="24"/>
        </w:rPr>
        <w:t xml:space="preserve">- другие обязательства, в том числе забалансовые, расчеты по которым наступают в течение отчетного операционного дня.";</w:t>
      </w:r>
    </w:p>
    <w:p>
      <w:pPr>
        <w:spacing w:after="60"/>
        <w:ind w:firstLine="567"/>
        <w:jc w:val="both"/>
      </w:pPr>
      <w:r>
        <w:rPr>
          <w:rFonts w:ascii="Arial" w:cs="Arial" w:eastAsia="Arial" w:hAnsi="Arial"/>
          <w:sz w:val="24"/>
          <w:szCs w:val="24"/>
        </w:rPr>
        <w:t xml:space="preserve">- пункт 7.3 изложить в следующей редакции:</w:t>
      </w:r>
    </w:p>
    <w:p>
      <w:pPr>
        <w:spacing w:after="60"/>
        <w:ind w:firstLine="567"/>
        <w:jc w:val="both"/>
      </w:pPr>
      <w:r>
        <w:rPr>
          <w:rFonts w:ascii="Arial" w:cs="Arial" w:eastAsia="Arial" w:hAnsi="Arial"/>
          <w:sz w:val="24"/>
          <w:szCs w:val="24"/>
        </w:rPr>
        <w:t xml:space="preserve">"7.3. Максимальный объем депозитов, привлеченных от физических и юридических лиц, не должен превышать 50 процентов от размера кредитного портфеля банка, в случае, если объем кредитов, выданных членам солидарной ответственности, в кредитном портфеле банка составляет 50 и более процентов.</w:t>
      </w:r>
    </w:p>
    <w:p>
      <w:pPr>
        <w:spacing w:after="60"/>
        <w:ind w:firstLine="567"/>
        <w:jc w:val="both"/>
      </w:pPr>
      <w:r>
        <w:rPr>
          <w:rFonts w:ascii="Arial" w:cs="Arial" w:eastAsia="Arial" w:hAnsi="Arial"/>
          <w:sz w:val="24"/>
          <w:szCs w:val="24"/>
        </w:rPr>
        <w:t xml:space="preserve">При этом из объема кредитов, выданных членам солидарной ответственности, исключаются кредиты, выданные членам солидарной ответственности, подпадающие под все следующие критерии:</w:t>
      </w:r>
    </w:p>
    <w:p>
      <w:pPr>
        <w:spacing w:after="60"/>
        <w:ind w:firstLine="567"/>
        <w:jc w:val="both"/>
      </w:pPr>
      <w:r>
        <w:rPr>
          <w:rFonts w:ascii="Arial" w:cs="Arial" w:eastAsia="Arial" w:hAnsi="Arial"/>
          <w:sz w:val="24"/>
          <w:szCs w:val="24"/>
        </w:rPr>
        <w:t xml:space="preserve">- на сумму не более 150000 сом (одной ГСО);</w:t>
      </w:r>
    </w:p>
    <w:p>
      <w:pPr>
        <w:spacing w:after="60"/>
        <w:ind w:firstLine="567"/>
        <w:jc w:val="both"/>
      </w:pPr>
      <w:r>
        <w:rPr>
          <w:rFonts w:ascii="Arial" w:cs="Arial" w:eastAsia="Arial" w:hAnsi="Arial"/>
          <w:sz w:val="24"/>
          <w:szCs w:val="24"/>
        </w:rPr>
        <w:t xml:space="preserve">- сроком не более чем 24 месяцев;</w:t>
      </w:r>
    </w:p>
    <w:p>
      <w:pPr>
        <w:spacing w:after="60"/>
        <w:ind w:firstLine="567"/>
        <w:jc w:val="both"/>
      </w:pPr>
      <w:r>
        <w:rPr>
          <w:rFonts w:ascii="Arial" w:cs="Arial" w:eastAsia="Arial" w:hAnsi="Arial"/>
          <w:sz w:val="24"/>
          <w:szCs w:val="24"/>
        </w:rPr>
        <w:t xml:space="preserve">- с аннуитетным графиком погашения;</w:t>
      </w:r>
    </w:p>
    <w:p>
      <w:pPr>
        <w:spacing w:after="60"/>
        <w:ind w:firstLine="567"/>
        <w:jc w:val="both"/>
      </w:pPr>
      <w:r>
        <w:rPr>
          <w:rFonts w:ascii="Arial" w:cs="Arial" w:eastAsia="Arial" w:hAnsi="Arial"/>
          <w:sz w:val="24"/>
          <w:szCs w:val="24"/>
        </w:rPr>
        <w:t xml:space="preserve">- годовая процентная ставка не более 23%.".</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q5y9h0z9bym35uen01dd">
      <w:r>
        <w:rPr>
          <w:rFonts w:ascii="Arial" w:cs="Arial" w:eastAsia="Arial" w:hAnsi="Arial"/>
          <w:color w:val="132D3F"/>
          <w:sz w:val="16"/>
          <w:szCs w:val="16"/>
          <w:u w:val="single"/>
        </w:rPr>
        <w:t xml:space="preserve">dalil.kg/document/800064</w:t>
      </w:r>
    </w:hyperlink>
  </w:p>
  <w:p>
    <w:pPr>
      <w:spacing w:after="0" w:before="40"/>
      <w:jc w:val="center"/>
    </w:pPr>
    <w:hyperlink w:history="1" r:id="rIdfxnkzzma6warknipm10l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77hgfy5xdepvi7j0qsrz" Type="http://schemas.openxmlformats.org/officeDocument/2006/relationships/hyperlink" Target="https://dalil.kg/document/111486" TargetMode="External"/><Relationship Id="rId7v8-9bavcy0o29g6jn7kg" Type="http://schemas.openxmlformats.org/officeDocument/2006/relationships/hyperlink" Target="https://dalil.kg/document/800065" TargetMode="External"/><Relationship Id="rIdzucqztyxcydynmjogaad2" Type="http://schemas.openxmlformats.org/officeDocument/2006/relationships/hyperlink" Target="https://dalil.kg/document/800066" TargetMode="External"/><Relationship Id="rIdgnkzjwlrq8j-vs9xyd778" Type="http://schemas.openxmlformats.org/officeDocument/2006/relationships/hyperlink" Target="https://dalil.kg/document/800064#p1" TargetMode="External"/><Relationship Id="rIdezi_02y4mmg1ialemqfjc" Type="http://schemas.openxmlformats.org/officeDocument/2006/relationships/hyperlink" Target="https://dalil.kg/document/800065" TargetMode="External"/><Relationship Id="rIdikobpz_fqrzfy33hizqbt" Type="http://schemas.openxmlformats.org/officeDocument/2006/relationships/hyperlink" Target="https://dalil.kg/document/800066" TargetMode="External"/><Relationship Id="rIdzrvnusxszr7ovhnk1fcop" Type="http://schemas.openxmlformats.org/officeDocument/2006/relationships/hyperlink" Target="https://dalil.kg/document/800066" TargetMode="External"/><Relationship Id="rIdg9-ul7svlgh69l_3ihhpr" Type="http://schemas.openxmlformats.org/officeDocument/2006/relationships/hyperlink" Target="https://dalil.kg/document/800065"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q5y9h0z9bym35uen01dd" Type="http://schemas.openxmlformats.org/officeDocument/2006/relationships/hyperlink" Target="https://dalil.kg/document/800064" TargetMode="External"/><Relationship Id="rIdfxnkzzma6warknipm10l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2026-10-02T23:37:27.462Z</dcterms:created>
  <dcterms:modified xsi:type="dcterms:W3CDTF">2026-10-02T23:37:27.462Z</dcterms:modified>
</cp:coreProperties>
</file>

<file path=docProps/custom.xml><?xml version="1.0" encoding="utf-8"?>
<Properties xmlns="http://schemas.openxmlformats.org/officeDocument/2006/custom-properties" xmlns:vt="http://schemas.openxmlformats.org/officeDocument/2006/docPropsVTypes"/>
</file>