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23 мая 2018 года № 2018-П-15/18-1-(НПА)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2wrg0qmwcvftsk-8opb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следующие нормативные правовые акты Национального банка Кыргызской Республики (</w:t>
      </w:r>
      <w:hyperlink w:history="1" r:id="rIdplk_7gwtiq89e-8xb6c0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прилагаются</w:t>
        </w:r>
      </w:hyperlink>
      <w:r>
        <w:rPr>
          <w:rFonts w:ascii="Arial" w:cs="Arial" w:eastAsia="Arial" w:hAnsi="Arial"/>
          <w:sz w:val="24"/>
          <w:szCs w:val="24"/>
        </w:rPr>
        <w:t xml:space="preserve">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tgsadazwyt1y8ly-fq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ejhrryqfpy9dios9le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операциям" от 30 июня 2010 года № 52/1";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fvtdm-wywh6fyvye3g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pyzfzqjzui8tf7vov1n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 от 28 марта 2013 года №10/9".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развития государственного языка и документооборота Национального банка Кыргызской Республики довести настоящее постановление до сведения коммерческих банков и соответствующих структурных подразделений Национального банка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- Тезекбаеву А.С.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 председателя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Н.Жениш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23 мая 2018 года № 2018-П-15/18-1-(НПА)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
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некоторые нормативные правовые акты Национального банка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-gpu4tfy9xzhjdm4y90u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as_1xenuskmkia2zmoal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операциям" от 30 июня 2010 года № 52/1"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пункте 1 постановления слово "государственных"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yrxsol3fz0yo6wieqc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Правилах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залогового обеспечения в виде государственных ценных бумаг, размещаемых через Национальный банк Кыргызской Республики по межбанковским кредитным операциям, утвержденных вышеуказанным </w:t>
      </w:r>
      <w:hyperlink w:history="1" r:id="rIdakdjnpaxfq9huzlyrbh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наименовании, по всему тексту и в </w:t>
      </w:r>
      <w:hyperlink w:history="1" r:id="rIde5in4vektdafnex77ux4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и в Приложениях аббревиатуру "ГЦБ" заменить на аббревиатуру "ЦБ";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и в Приложениях </w:t>
      </w:r>
      <w:hyperlink w:history="1" r:id="rIdi0acd52rf6mseekqdk5g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k6y0slydrmsyksvbxg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aqcuhw4u5n0jzlw-5x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"Депозитарий ГЦБ" в различных числовых и падежных формах заменить словом "Депозитарий" в соответствующих числовых и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Приложениях </w:t>
      </w:r>
      <w:hyperlink w:history="1" r:id="rIdgdukfn8ev20zrzkwejp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9crbcq0ta3q4oi0pca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3ixemrrwsuxs6se872nz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"сом" заменить словом "валюта".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Настоящие </w:t>
      </w:r>
      <w:hyperlink w:history="1" r:id="rIdkpthdjpbjoau6tizmkln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разработаны в целях упорядочения процесса регистрации договоров о залоге в Национальном банке Кыргызской Республики (далее - Национальный банк), предметом залога в которых являются государственные ценные бумаги Правительства Кыргызской Республики и ноты Национального банка (далее - ЦБ), размещаемые через Национальный банк и учитываемые в депозитарии в Национальном банке по межбанковским кредитным операциям, а также действий по отношению к залоговому имуществу в случаях исполнения либо неисполнения обязательства, обеспеченного залогом.";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r>
        <w:rPr>
          <w:rFonts w:ascii="Arial" w:cs="Arial" w:eastAsia="Arial" w:hAnsi="Arial"/>
          <w:sz w:val="24"/>
          <w:szCs w:val="24"/>
        </w:rPr>
        <w:t xml:space="preserve">главе 2</w:t>
      </w:r>
      <w:r>
        <w:rPr>
          <w:rFonts w:ascii="Arial" w:cs="Arial" w:eastAsia="Arial" w:hAnsi="Arial"/>
          <w:sz w:val="24"/>
          <w:szCs w:val="24"/>
        </w:rPr>
        <w:t xml:space="preserve"> 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"Ценные бумаги, размещаемые через Национальный банк, - государственные ценные бумаги, выпускаемые Министерством финансов Кыргызской Республики от имени Правительства Кыргызской Республики и ноты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четвертом, пятом слова "Первичного дилера или финансово-кредитной организации" заменить словами "Прямого участника";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шестом, девятом слова "Первичный дилер" в различных падежах заменить словами "Прямой участник"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"Прямой участник - коммерческий банк, лицензируемый Национальным банком, имеющий корреспондентский/текущий счет в Национальном банке, Социальный фонд Кыргызской Республики, Государственный накопительный пенсионный фонд при Социальном фонде Кыргызской Республики, ЗАО "Центральный депозитарий" и Агентство по защите депозитов Кыргызской Республики, заключившие с Национальным банком соответствующий договор о работе на рынке ЦБ, размещаемых через Национальный банк.";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десятый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 Договоры о залоге, заключенные между Прямыми участниками, имеющими депо-счета в Депозитарии, предоставляются в Национальный банк и регистрируются в Национальном банке при заключении сделки вне Автоматизированной торговой системе (далее - АТС).";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8 и 11 цифры "15.30 ч." заменить цифрами "17.00 ч.".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"9. Национальный банк проверяет в представленных договорах о залоге наличие указанных в них ЦБ на депо-счетах Залогодателя в Депозитарии. Регистрация Договора о залоге осуществляется в АТС, работа АТС регулируется постановлением Правления. В договор о залоге вносится запись о дате и номере их регистрации, заверенная подписью контролера Депозитария. Один экземпляр договора о залоге остается в Национальном банке, второй и третий экземпляры передаются Залогодержателю и Залогодателю соответственно.";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10 слова "законодательством Кыргызской Республики 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12 дополнить предложением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"Дополнительный залог ценных бумаг и/или их частичное высвобождение к действующему договору о залоге производится на основе Дополнительного соглашения к Договору о залоге (</w:t>
      </w:r>
      <w:hyperlink w:history="1" r:id="rIdwsip-bnox31msukidxtt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"13. За регистрацию договоров о залоге в Национальном банке устанавливается сбор в размере 300 сом.";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"15. Добровольный перевод ценных бумаг, находящихся на залоговом субсчете Залогодателя на инвестиционный субсчет Залогодержателя, либо на общий субсчет Управляющий залогом в Депозитарии в счет погашения обязательств может производиться Национальным банком по поручению Залогодержателя или Управляющего залогом, согласованного с Залогодателем (</w:t>
      </w:r>
      <w:hyperlink w:history="1" r:id="rIdkmrxovya5m6wyoktnk3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4</w:t>
        </w:r>
      </w:hyperlink>
      <w:r>
        <w:rPr>
          <w:rFonts w:ascii="Arial" w:cs="Arial" w:eastAsia="Arial" w:hAnsi="Arial"/>
          <w:sz w:val="24"/>
          <w:szCs w:val="24"/>
        </w:rPr>
        <w:t xml:space="preserve">), в день его поступления.";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sudcomi0gw-4jqa34pi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</w:t>
      </w:r>
      <w:hyperlink w:history="1" r:id="rIdevebt729zid4huvcqws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Приложением 5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qwezoe5jwmnmp41jhxp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Правилам регистрации залогового обеспечения в виде ценных бумаг, размещаемых через Национальный банк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ТИПОВОЕ ДОПОЛНИТЕЛЬНОЕ СОГЛАШЕНИЕ № _______
 </w:t>
      </w:r>
      <w:r>
        <w:rPr>
          <w:rFonts w:ascii="Arial" w:cs="Arial" w:eastAsia="Arial" w:hAnsi="Arial"/>
          <w:sz w:val="24"/>
          <w:szCs w:val="24"/>
        </w:rPr>
        <w:t xml:space="preserve">к Договору о залоге от _____________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г.Бишкек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 _____ __________________ _______ г.</w:t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462"/>
        <w:gridCol w:w="2462"/>
        <w:gridCol w:w="2630"/>
        <w:gridCol w:w="2624"/>
      </w:tblGrid>
      <w:tr>
        <w:tc>
          <w:tcPr>
            <w:tcW w:type="dxa" w:w="49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банк Кыргызской Республики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именуемый в дальнейшем "Национальный банк" или "Залогодержатель", в лице ______________________________________________,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действующей на основании _____________________________________________________ 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приказа Национального банка от ________________________________________________, с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одной стороны, и _______________________________, именуемое в дальнейшем "Банк" или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"Залогодатель", в лице _____________________________, действующего(-ей) на основании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Устава, с другой стороны, далее совместно именуемые "Стороны",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связи с____________________________ по Кредитному договору от ______________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заключили настоящее Дополнительное соглашение (далее - Дополнительное соглашение) к Договору о залоге от _____________________ (далее - Договор о залоге) о нижеследующем: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Пункт 1. Договора о залоге изложить в следующей редакции: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"1. В обеспечение выполнения обязательств Залогодателя по Кредитному договору, Залогодатель передает Залогодержателю в залог нижеперечисленные ценные бумаги (далее - ЦБ) на общую номинальную стоимость в размере ___________ (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Сумма прописью) сомов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следующих выпусков и в следующих объемах: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Остальные условия Договора о залоге остаются неизменными.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Настоящее Дополнительное соглашение является неотъемлемой частью Договора о залоге.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Настоящее Дополнительное соглашение составлено в 3-х (трех) экземплярах, имеющих одинаковую юридическую силу: 1 (один) экземпляр - для хранения в Банке, 1 (один) экземпляр - для представления в соответствующие уполномоченные органы для регистрации, 1 (один) экземпляр - для хранения в Национальном банке.</w:t>
            </w:r>
          </w:p>
        </w:tc>
        <w:tc>
          <w:tcPr>
            <w:tcW w:type="dxa" w:w="263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2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ЮРИДИЧЕСКИЕ АДРЕСА, РЕКВИЗИТЫ И ПОДПИСИ СТОРОН</w:t>
            </w:r>
          </w:p>
        </w:tc>
        <w:tc>
          <w:tcPr>
            <w:tcW w:type="dxa" w:w="52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Национальный банк: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Банк:</w:t>
            </w:r>
          </w:p>
        </w:tc>
        <w:tc>
          <w:tcPr>
            <w:tcW w:type="dxa" w:w="52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Подписант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Подписант</w:t>
            </w:r>
          </w:p>
        </w:tc>
        <w:tc>
          <w:tcPr>
            <w:tcW w:type="dxa" w:w="52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2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 М.П.</w:t>
            </w:r>
          </w:p>
        </w:tc>
        <w:tc>
          <w:tcPr>
            <w:tcW w:type="dxa" w:w="246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__________________ М.П.".</w:t>
            </w:r>
          </w:p>
        </w:tc>
        <w:tc>
          <w:tcPr>
            <w:tcW w:type="dxa" w:w="52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bottom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8wvtjyn1tu2ffedvqmv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n2vuhdnm511xkjynnvnh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 от 28 марта 2013 года №10/9"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в пунктах 1 и 6 </w:t>
      </w:r>
      <w:hyperlink w:history="1" r:id="rId9dlxufyv6g7y9sxgqlj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vyrj1jlzpczkdkoqniw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депозитарном учете государственных ценных бумаг, размещаемых через Национальный банк Кыргызской Республики", утвержденном вышеуказанным </w:t>
      </w:r>
      <w:hyperlink w:history="1" r:id="rIddzwvfq0jsks9aoefvhip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наименовании и по всему тексту </w:t>
      </w:r>
      <w:hyperlink w:history="1" r:id="rIde1vvkzyvnbvm0xg4xcwg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"государственных"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d6zgeqkmfxxxqapclvs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и Приложений </w:t>
      </w:r>
      <w:hyperlink w:history="1" r:id="rIdatijyqj3kvn_ji0jxar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ordzlxdckjm5uwg-mp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"ГЦБ" заменить словами "ценные бумаги" в соответствующих падежах;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</w:t>
      </w:r>
      <w:hyperlink w:history="1" r:id="rIdzwdx6vwwc-bdackkr4sg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и аббревиатуру "Депозитарий ГЦБ" в различных числовых и падежных формах заменить словом "Депозитарий" в соответствующих числовых и падежных формах;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всему тексту Приложений </w:t>
      </w:r>
      <w:hyperlink w:history="1" r:id="rIdryipe2zb78vstpbuuvk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p_cj_mrdsulqmz8pvh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"Отдел рефинансирования и размещения ценных бумаг"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аббревиатуры и слово "ГКВ, ГКО, ноты"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аббревиатуру и слово "ГКВ/ноты"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Настоящее </w:t>
      </w:r>
      <w:hyperlink w:history="1" r:id="rId08-cyrvw5lwfyjbhe14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определяет порядок ведения депозитарного учета ценных бумаг (далее - ЦБ), размещаемых через Национальный банк в автоматизированной торговой системе Национального банка (далее - АТС).";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"7. Ценные бумаги, размещаемые через Национальный банк, - государственные ценные бумаги, выпускаемые Министерством финансов Кыргызской Республики от имени Правительства Кыргызской Республики и ноты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пункта 19 слова "финансово-кредитные учреждения" заменить словами "финансово-кредитные организации";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"На суббалансе "Залоговый без перехода права собственности на ЦБ" учитываются ЦБ, заблокированные в пользу залогодержателя. ЦБ с данного суббаланса не могут быть использованы для текущих операций покупки, продажи, залога и внутрипозиционных переводов.";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пятнадцатый пункта 26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"Суббаланс "Залоговый с переходом прав собственности" используется для учета ЦБ, заложенных в рамках кредитов "внутридневной" и "овернайт", которые не могут быть использованы для текущих операций покупки, продажи, залога и внутрипозиционных переводов. ЦБ переводятся на данный суббаланс после выдачи кредитов.";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"32. Основанием для совершения операции по закрытию счетов "депо" являются документы, оформленные, согласно соответствующим нормативным правовым актам Кыргызской Республики и договорам".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ifd8pyugva07kuiqgm1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dalil.kg/document/800077</w:t>
      </w:r>
    </w:hyperlink>
  </w:p>
  <w:p>
    <w:pPr>
      <w:spacing w:after="0" w:before="40"/>
      <w:jc w:val="center"/>
    </w:pPr>
    <w:hyperlink w:history="1" r:id="rId6fnnp8mfc7_dm4eaaqwb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2wrg0qmwcvftsk-8opb_" Type="http://schemas.openxmlformats.org/officeDocument/2006/relationships/hyperlink" Target="https://dalil.kg/document/111486" TargetMode="External"/><Relationship Id="rIdplk_7gwtiq89e-8xb6c0f" Type="http://schemas.openxmlformats.org/officeDocument/2006/relationships/hyperlink" Target="https://dalil.kg/document/800077#p1" TargetMode="External"/><Relationship Id="rIdqtgsadazwyt1y8ly-fqse" Type="http://schemas.openxmlformats.org/officeDocument/2006/relationships/hyperlink" Target="https://dalil.kg/document/302348" TargetMode="External"/><Relationship Id="rIdnejhrryqfpy9dios9lenz" Type="http://schemas.openxmlformats.org/officeDocument/2006/relationships/hyperlink" Target="https://dalil.kg/document/302349" TargetMode="External"/><Relationship Id="rIdmfvtdm-wywh6fyvye3gj4" Type="http://schemas.openxmlformats.org/officeDocument/2006/relationships/hyperlink" Target="https://dalil.kg/document/302618" TargetMode="External"/><Relationship Id="rIdpyzfzqjzui8tf7vov1nq6" Type="http://schemas.openxmlformats.org/officeDocument/2006/relationships/hyperlink" Target="https://dalil.kg/document/302619" TargetMode="External"/><Relationship Id="rId-gpu4tfy9xzhjdm4y90ut" Type="http://schemas.openxmlformats.org/officeDocument/2006/relationships/hyperlink" Target="https://dalil.kg/document/302348" TargetMode="External"/><Relationship Id="rIdas_1xenuskmkia2zmoall" Type="http://schemas.openxmlformats.org/officeDocument/2006/relationships/hyperlink" Target="https://dalil.kg/document/302349" TargetMode="External"/><Relationship Id="rIdcyrxsol3fz0yo6wieqcw6" Type="http://schemas.openxmlformats.org/officeDocument/2006/relationships/hyperlink" Target="https://dalil.kg/document/302349" TargetMode="External"/><Relationship Id="rIdakdjnpaxfq9huzlyrbh5j" Type="http://schemas.openxmlformats.org/officeDocument/2006/relationships/hyperlink" Target="https://dalil.kg/document/302348" TargetMode="External"/><Relationship Id="rIde5in4vektdafnex77ux4p" Type="http://schemas.openxmlformats.org/officeDocument/2006/relationships/hyperlink" Target="https://dalil.kg/document/302349#p2" TargetMode="External"/><Relationship Id="rIdi0acd52rf6mseekqdk5gx" Type="http://schemas.openxmlformats.org/officeDocument/2006/relationships/hyperlink" Target="https://dalil.kg/document/302349#p1" TargetMode="External"/><Relationship Id="rIdck6y0slydrmsyksvbxgb-" Type="http://schemas.openxmlformats.org/officeDocument/2006/relationships/hyperlink" Target="https://dalil.kg/document/302349#p2" TargetMode="External"/><Relationship Id="rId0aqcuhw4u5n0jzlw-5xp8" Type="http://schemas.openxmlformats.org/officeDocument/2006/relationships/hyperlink" Target="https://dalil.kg/document/302349#p4" TargetMode="External"/><Relationship Id="rIdgdukfn8ev20zrzkwejphw" Type="http://schemas.openxmlformats.org/officeDocument/2006/relationships/hyperlink" Target="https://dalil.kg/document/302349#p1" TargetMode="External"/><Relationship Id="rIdj9crbcq0ta3q4oi0pcavr" Type="http://schemas.openxmlformats.org/officeDocument/2006/relationships/hyperlink" Target="https://dalil.kg/document/302349#p2" TargetMode="External"/><Relationship Id="rId3ixemrrwsuxs6se872nzz" Type="http://schemas.openxmlformats.org/officeDocument/2006/relationships/hyperlink" Target="https://dalil.kg/document/302349#p4" TargetMode="External"/><Relationship Id="rIdkpthdjpbjoau6tizmklnj" Type="http://schemas.openxmlformats.org/officeDocument/2006/relationships/hyperlink" Target="https://dalil.kg/document/302349" TargetMode="External"/><Relationship Id="rIdwsip-bnox31msukidxttd" Type="http://schemas.openxmlformats.org/officeDocument/2006/relationships/hyperlink" Target="https://dalil.kg/document/302349#p5" TargetMode="External"/><Relationship Id="rIdkmrxovya5m6wyoktnk3or" Type="http://schemas.openxmlformats.org/officeDocument/2006/relationships/hyperlink" Target="https://dalil.kg/document/302349#p4" TargetMode="External"/><Relationship Id="rIdsudcomi0gw-4jqa34pisw" Type="http://schemas.openxmlformats.org/officeDocument/2006/relationships/hyperlink" Target="https://dalil.kg/document/302349" TargetMode="External"/><Relationship Id="rIdevebt729zid4huvcqwswl" Type="http://schemas.openxmlformats.org/officeDocument/2006/relationships/hyperlink" Target="https://dalil.kg/document/302349#p5" TargetMode="External"/><Relationship Id="rIdqwezoe5jwmnmp41jhxpbo" Type="http://schemas.openxmlformats.org/officeDocument/2006/relationships/hyperlink" Target="https://dalil.kg/document/302349#p5" TargetMode="External"/><Relationship Id="rId8wvtjyn1tu2ffedvqmvxs" Type="http://schemas.openxmlformats.org/officeDocument/2006/relationships/hyperlink" Target="https://dalil.kg/document/302618" TargetMode="External"/><Relationship Id="rIdn2vuhdnm511xkjynnvnhf" Type="http://schemas.openxmlformats.org/officeDocument/2006/relationships/hyperlink" Target="https://dalil.kg/document/302619" TargetMode="External"/><Relationship Id="rId9dlxufyv6g7y9sxgqlj6q" Type="http://schemas.openxmlformats.org/officeDocument/2006/relationships/hyperlink" Target="https://dalil.kg/document/302618" TargetMode="External"/><Relationship Id="rIdvyrj1jlzpczkdkoqniwqq" Type="http://schemas.openxmlformats.org/officeDocument/2006/relationships/hyperlink" Target="https://dalil.kg/document/302619" TargetMode="External"/><Relationship Id="rIddzwvfq0jsks9aoefvhipk" Type="http://schemas.openxmlformats.org/officeDocument/2006/relationships/hyperlink" Target="https://dalil.kg/document/302618" TargetMode="External"/><Relationship Id="rIde1vvkzyvnbvm0xg4xcwgu" Type="http://schemas.openxmlformats.org/officeDocument/2006/relationships/hyperlink" Target="https://dalil.kg/document/302619" TargetMode="External"/><Relationship Id="rIdd6zgeqkmfxxxqapclvsws" Type="http://schemas.openxmlformats.org/officeDocument/2006/relationships/hyperlink" Target="https://dalil.kg/document/302619" TargetMode="External"/><Relationship Id="rIdatijyqj3kvn_ji0jxartp" Type="http://schemas.openxmlformats.org/officeDocument/2006/relationships/hyperlink" Target="https://dalil.kg/document/302619#p1" TargetMode="External"/><Relationship Id="rIdvordzlxdckjm5uwg-mpz-" Type="http://schemas.openxmlformats.org/officeDocument/2006/relationships/hyperlink" Target="https://dalil.kg/document/302619#p2" TargetMode="External"/><Relationship Id="rIdzwdx6vwwc-bdackkr4sg2" Type="http://schemas.openxmlformats.org/officeDocument/2006/relationships/hyperlink" Target="https://dalil.kg/document/302619" TargetMode="External"/><Relationship Id="rIdryipe2zb78vstpbuuvkqa" Type="http://schemas.openxmlformats.org/officeDocument/2006/relationships/hyperlink" Target="https://dalil.kg/document/302619#p1" TargetMode="External"/><Relationship Id="rIdpp_cj_mrdsulqmz8pvh6k" Type="http://schemas.openxmlformats.org/officeDocument/2006/relationships/hyperlink" Target="https://dalil.kg/document/302619#p2" TargetMode="External"/><Relationship Id="rId08-cyrvw5lwfyjbhe14ds" Type="http://schemas.openxmlformats.org/officeDocument/2006/relationships/hyperlink" Target="https://dalil.kg/document/302619" TargetMode="External"/><Relationship Id="rId8" Type="http://schemas.openxmlformats.org/officeDocument/2006/relationships/image" Target="media/8de64316e95979c063c17bcd5380dc052a2594e9.png"/><Relationship Id="rId4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ifd8pyugva07kuiqgm1p" Type="http://schemas.openxmlformats.org/officeDocument/2006/relationships/hyperlink" Target="https://dalil.kg/document/800077" TargetMode="External"/><Relationship Id="rId6fnnp8mfc7_dm4eaaqwb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2026-10-02T17:55:30.280Z</dcterms:created>
  <dcterms:modified xsi:type="dcterms:W3CDTF">2026-10-02T17:55:30.280Z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