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11 мая 2006 года. Регистрационный номер 51-06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0p5o8sbwk1zw_27ulqa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12 апреля 2006 года N 10/6</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классификации кредитов в кредитных союзах</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zsjuj9sarot_jn3atc_tj">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15 июня 2017 года № 2017-П-12/25-12)</w:t>
      </w:r>
    </w:p>
    <w:p>
      <w:pPr>
        <w:spacing w:after="60"/>
        <w:ind w:firstLine="567"/>
        <w:jc w:val="both"/>
      </w:pPr>
      <w:r>
        <w:rPr>
          <w:rFonts w:ascii="Arial" w:cs="Arial" w:eastAsia="Arial" w:hAnsi="Arial"/>
          <w:sz w:val="24"/>
          <w:szCs w:val="24"/>
        </w:rPr>
        <w:t xml:space="preserve">1.2. Настоящее Положение о классификации кредитов в кредитных союзах (далее - Положение) в соответствии с законами Кыргызской Республики "</w:t>
      </w:r>
      <w:hyperlink w:history="1" r:id="rIdcbbsr-m13tffkfcrieel-">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w:t>
      </w:r>
      <w:hyperlink w:history="1" r:id="rIdlatlbvh0gwbqwul3qr__r">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устанавливает требования для кредитных союзов по классификации кредитов и формированию соответствующих резервов на покрытие потенциальных потерь и убытков (далее по тексту - РППУ).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Основные понятия</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заемщиком своих обязательств в соответствии со сроками и условиями договора между кредитным союзом и заемщиком.</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rhzmims83ksrsutipsqz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200" w:before="200"/>
        <w:jc w:val="center"/>
      </w:pPr>
      <w:r>
        <w:rPr>
          <w:rFonts w:ascii="Arial" w:cs="Arial" w:eastAsia="Arial" w:hAnsi="Arial"/>
          <w:b/>
          <w:bCs/>
          <w:sz w:val="24"/>
          <w:szCs w:val="24"/>
        </w:rPr>
        <w:t xml:space="preserve">3. Классификация кредитов кредитных союзов</w:t>
      </w:r>
    </w:p>
    <w:p>
      <w:pPr>
        <w:spacing w:after="60"/>
        <w:ind w:firstLine="567"/>
        <w:jc w:val="both"/>
      </w:pPr>
      <w:r>
        <w:rPr>
          <w:rFonts w:ascii="Arial" w:cs="Arial" w:eastAsia="Arial" w:hAnsi="Arial"/>
          <w:sz w:val="24"/>
          <w:szCs w:val="24"/>
        </w:rPr>
        <w:t xml:space="preserve">3.1. Классификация кредитов основана на регулярной оценке качества кредитов в зависимости от степени кредитного риска и определении адекватного РППУ.</w:t>
      </w:r>
    </w:p>
    <w:p>
      <w:pPr>
        <w:spacing w:after="60"/>
        <w:ind w:firstLine="567"/>
        <w:jc w:val="both"/>
      </w:pPr>
      <w:r>
        <w:rPr>
          <w:rFonts w:ascii="Arial" w:cs="Arial" w:eastAsia="Arial" w:hAnsi="Arial"/>
          <w:sz w:val="24"/>
          <w:szCs w:val="24"/>
        </w:rPr>
        <w:t xml:space="preserve">3.2. Классификация кредитов производится на основе предварительного анализа, в том числе:</w:t>
      </w:r>
    </w:p>
    <w:p>
      <w:pPr>
        <w:spacing w:after="60"/>
        <w:ind w:firstLine="567"/>
        <w:jc w:val="both"/>
      </w:pPr>
      <w:r>
        <w:rPr>
          <w:rFonts w:ascii="Arial" w:cs="Arial" w:eastAsia="Arial" w:hAnsi="Arial"/>
          <w:sz w:val="24"/>
          <w:szCs w:val="24"/>
        </w:rPr>
        <w:t xml:space="preserve">количественных характеристик состояния кредита:</w:t>
      </w:r>
    </w:p>
    <w:p>
      <w:pPr>
        <w:spacing w:after="60"/>
        <w:ind w:firstLine="567"/>
        <w:jc w:val="both"/>
      </w:pPr>
      <w:r>
        <w:rPr>
          <w:rFonts w:ascii="Arial" w:cs="Arial" w:eastAsia="Arial" w:hAnsi="Arial"/>
          <w:sz w:val="24"/>
          <w:szCs w:val="24"/>
        </w:rPr>
        <w:t xml:space="preserve">- просрочки плановых платежей по основной сумме и/или процентам;</w:t>
      </w:r>
    </w:p>
    <w:p>
      <w:pPr>
        <w:spacing w:after="60"/>
        <w:ind w:firstLine="567"/>
        <w:jc w:val="both"/>
      </w:pPr>
      <w:r>
        <w:rPr>
          <w:rFonts w:ascii="Arial" w:cs="Arial" w:eastAsia="Arial" w:hAnsi="Arial"/>
          <w:sz w:val="24"/>
          <w:szCs w:val="24"/>
        </w:rPr>
        <w:t xml:space="preserve">- неполного (частичного) погашения плановых платежей по основной сумме и/или процентам;</w:t>
      </w:r>
    </w:p>
    <w:p>
      <w:pPr>
        <w:spacing w:after="60"/>
        <w:ind w:firstLine="567"/>
        <w:jc w:val="both"/>
      </w:pPr>
      <w:r>
        <w:rPr>
          <w:rFonts w:ascii="Arial" w:cs="Arial" w:eastAsia="Arial" w:hAnsi="Arial"/>
          <w:sz w:val="24"/>
          <w:szCs w:val="24"/>
        </w:rPr>
        <w:t xml:space="preserve">качественных характеристик состояния кредита:</w:t>
      </w:r>
    </w:p>
    <w:p>
      <w:pPr>
        <w:spacing w:after="60"/>
        <w:ind w:firstLine="567"/>
        <w:jc w:val="both"/>
      </w:pPr>
      <w:r>
        <w:rPr>
          <w:rFonts w:ascii="Arial" w:cs="Arial" w:eastAsia="Arial" w:hAnsi="Arial"/>
          <w:sz w:val="24"/>
          <w:szCs w:val="24"/>
        </w:rPr>
        <w:t xml:space="preserve">- платежеспособности заемщика, т. е. способности заемщика получать прибыль от использования заемных средств и своевременно погашать плановые платежи как по процентам, так и по основной сумме, состояния и стоимости его имущества, наличия иных источников дохода (доходы членов семьи, доход от других видов деятельности и т. д.);</w:t>
      </w:r>
    </w:p>
    <w:p>
      <w:pPr>
        <w:spacing w:after="60"/>
        <w:ind w:firstLine="567"/>
        <w:jc w:val="both"/>
      </w:pPr>
      <w:r>
        <w:rPr>
          <w:rFonts w:ascii="Arial" w:cs="Arial" w:eastAsia="Arial" w:hAnsi="Arial"/>
          <w:sz w:val="24"/>
          <w:szCs w:val="24"/>
        </w:rPr>
        <w:t xml:space="preserve">- наличие любого другого кредита, выданного другими финансово-кредитными организациями. Кроме того, кредитным союзом должна быть учтена текущая кредитная дисциплина заемщика по любому другому кредиту, в случае, если у заемщика имеется непогашенная задолженность перед другими финансово-кредитными организациями. В связи с этим необходимо отслеживать наличие у клиента других кредитов и в других финансово-кредитных организациях на момент рассмотрения заявки, используя информацию, получаемую от клиента/заемщика, через кредитно-информационное бюро, или иным доступным способом. В дальнейшем, в процессе мониторинга кредита, по которому не истек срок кредитного договора, не реже, чем 1 раз в полгода, клиент обязан предоставлять информацию о наличии кредитов в других финансово-кредитных организациях и о соблюдении им кредитной дисциплины по данным кредитам. При этом все финансово-кредитные организации обязаны предоставлять в течение 3-х рабочих дней по запросу заемщика информацию о получении кредита и о соблюдении кредитной дисциплины заемщиком для ее предоставления в другая финансово-кредитную организацию. Кредитный союз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w:t>
      </w:r>
    </w:p>
    <w:p>
      <w:pPr>
        <w:spacing w:after="60"/>
        <w:ind w:firstLine="567"/>
        <w:jc w:val="both"/>
      </w:pPr>
      <w:r>
        <w:rPr>
          <w:rFonts w:ascii="Arial" w:cs="Arial" w:eastAsia="Arial" w:hAnsi="Arial"/>
          <w:sz w:val="24"/>
          <w:szCs w:val="24"/>
        </w:rPr>
        <w:t xml:space="preserve">- причин реструктуризации кредита;</w:t>
      </w:r>
    </w:p>
    <w:p>
      <w:pPr>
        <w:spacing w:after="60"/>
        <w:ind w:firstLine="567"/>
        <w:jc w:val="both"/>
      </w:pPr>
      <w:r>
        <w:rPr>
          <w:rFonts w:ascii="Arial" w:cs="Arial" w:eastAsia="Arial" w:hAnsi="Arial"/>
          <w:sz w:val="24"/>
          <w:szCs w:val="24"/>
        </w:rPr>
        <w:t xml:space="preserve">- наличия и ликвидности залога;</w:t>
      </w:r>
    </w:p>
    <w:p>
      <w:pPr>
        <w:spacing w:after="60"/>
        <w:ind w:firstLine="567"/>
        <w:jc w:val="both"/>
      </w:pPr>
      <w:r>
        <w:rPr>
          <w:rFonts w:ascii="Arial" w:cs="Arial" w:eastAsia="Arial" w:hAnsi="Arial"/>
          <w:sz w:val="24"/>
          <w:szCs w:val="24"/>
        </w:rPr>
        <w:t xml:space="preserve">- наличия и надежности гарантий (поручительств).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Национальный банк устанавливает общие и специальные категории классификации кредитов и нормативы отчислений в РППУ от остатка основной суммы кредита:</w:t>
      </w:r>
    </w:p>
    <w:p>
      <w:pPr>
        <w:tabs>
          <w:tab w:val="right" w:pos="10178"/>
        </w:tabs>
        <w:spacing w:after="120"/>
      </w:pPr>
      <w:r>
        <w:rPr>
          <w:rFonts w:ascii="Arial" w:cs="Arial" w:eastAsia="Arial" w:hAnsi="Arial"/>
          <w:sz w:val="24"/>
          <w:szCs w:val="24"/>
        </w:rPr>
        <w:t xml:space="preserve">Общие РППУ:</w:t>
      </w:r>
      <w:r>
        <w:rPr>
          <w:rFonts w:ascii="Arial" w:cs="Arial" w:eastAsia="Arial" w:hAnsi="Arial"/>
          <w:sz w:val="24"/>
          <w:szCs w:val="24"/>
        </w:rPr>
        <w:t xml:space="preserve">	</w:t>
      </w:r>
      <w:r>
        <w:rPr>
          <w:rFonts w:ascii="Arial" w:cs="Arial" w:eastAsia="Arial" w:hAnsi="Arial"/>
          <w:sz w:val="24"/>
          <w:szCs w:val="24"/>
        </w:rPr>
        <w:t xml:space="preserve">Специальные РППУ:</w:t>
      </w:r>
    </w:p>
    <w:p>
      <w:pPr>
        <w:tabs>
          <w:tab w:val="right" w:pos="10178"/>
        </w:tabs>
        <w:spacing w:after="120"/>
      </w:pPr>
      <w:r>
        <w:rPr>
          <w:rFonts w:ascii="Arial" w:cs="Arial" w:eastAsia="Arial" w:hAnsi="Arial"/>
          <w:sz w:val="24"/>
          <w:szCs w:val="24"/>
        </w:rPr>
        <w:t xml:space="preserve">Стандартные - 0%</w:t>
      </w:r>
      <w:r>
        <w:rPr>
          <w:rFonts w:ascii="Arial" w:cs="Arial" w:eastAsia="Arial" w:hAnsi="Arial"/>
          <w:sz w:val="24"/>
          <w:szCs w:val="24"/>
        </w:rPr>
        <w:t xml:space="preserve">	</w:t>
      </w:r>
      <w:r>
        <w:rPr>
          <w:rFonts w:ascii="Arial" w:cs="Arial" w:eastAsia="Arial" w:hAnsi="Arial"/>
          <w:sz w:val="24"/>
          <w:szCs w:val="24"/>
        </w:rPr>
        <w:t xml:space="preserve">Субстандартные - 25%</w:t>
      </w:r>
    </w:p>
    <w:p>
      <w:pPr>
        <w:tabs>
          <w:tab w:val="right" w:pos="10178"/>
        </w:tabs>
        <w:spacing w:after="120"/>
      </w:pPr>
      <w:r>
        <w:rPr>
          <w:rFonts w:ascii="Arial" w:cs="Arial" w:eastAsia="Arial" w:hAnsi="Arial"/>
          <w:sz w:val="24"/>
          <w:szCs w:val="24"/>
        </w:rPr>
        <w:t xml:space="preserve">Активы под наблюдением - 10%</w:t>
      </w:r>
      <w:r>
        <w:rPr>
          <w:rFonts w:ascii="Arial" w:cs="Arial" w:eastAsia="Arial" w:hAnsi="Arial"/>
          <w:sz w:val="24"/>
          <w:szCs w:val="24"/>
        </w:rPr>
        <w:t xml:space="preserve">	</w:t>
      </w:r>
      <w:r>
        <w:rPr>
          <w:rFonts w:ascii="Arial" w:cs="Arial" w:eastAsia="Arial" w:hAnsi="Arial"/>
          <w:sz w:val="24"/>
          <w:szCs w:val="24"/>
        </w:rPr>
        <w:t xml:space="preserve">Сомнительные - 50%</w:t>
      </w:r>
    </w:p>
    <w:p>
      <w:pPr>
        <w:spacing w:after="120"/>
        <w:jc w:val="right"/>
      </w:pPr>
      <w:r>
        <w:rPr>
          <w:rFonts w:ascii="Arial" w:cs="Arial" w:eastAsia="Arial" w:hAnsi="Arial"/>
          <w:sz w:val="24"/>
          <w:szCs w:val="24"/>
        </w:rPr>
        <w:t xml:space="preserve">Потери - 100%</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Кредиты считаются стандартными, если плановые платежи по процентам и/или основной сумме просрочены на срок не более 30 дней. При этом заемщик должен иметь удовлетворительное материальное положение, стабильный источник дохода и легко реализуемый залог в качестве обеспечения.</w:t>
      </w:r>
    </w:p>
    <w:p>
      <w:pPr>
        <w:spacing w:after="60"/>
        <w:ind w:firstLine="567"/>
        <w:jc w:val="both"/>
      </w:pPr>
      <w:r>
        <w:rPr>
          <w:rFonts w:ascii="Arial" w:cs="Arial" w:eastAsia="Arial" w:hAnsi="Arial"/>
          <w:sz w:val="24"/>
          <w:szCs w:val="24"/>
        </w:rPr>
        <w:t xml:space="preserve">3.4-1. Активами под наблюдением называются активы, характерными признаками которых являются:</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непогашенной задолженности в других финансово-кредитных организациях по любому другому кредиту, за исключением кредитов, выданных по целевым государственным программам Правительства Кыргызской Республики;</w:t>
      </w:r>
    </w:p>
    <w:p>
      <w:pPr>
        <w:spacing w:after="60"/>
        <w:ind w:firstLine="567"/>
        <w:jc w:val="both"/>
      </w:pPr>
      <w:r>
        <w:rPr>
          <w:rFonts w:ascii="Arial" w:cs="Arial" w:eastAsia="Arial" w:hAnsi="Arial"/>
          <w:sz w:val="24"/>
          <w:szCs w:val="24"/>
        </w:rPr>
        <w:t xml:space="preserve">- погашение задолженности заемщика-физического лица, в том числе индивидуального предпринимателя без образования юридического лица, и задолженности его супруга(и), родителей и детей по кредитам, за исключением кредитов, выданных им по целевым государственным программам Правительства Кыргызской Республики, перед данным кредитным союзом и/или другими финансово-кредитными организациями за счет единого источника дохода. При этом под единым источником дохода для погашения задолженности перед финансово-кредитной организацией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реструктуризация кредита.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kxize8ggmhhrsk6lnklpr">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Субстандартными могут считаться кредиты, по которым появились признаки, свидетельствующие об ухудшении финансового состояния заемщика и его способности своевременно погашать задолженность по кредиту.</w:t>
      </w:r>
    </w:p>
    <w:p>
      <w:pPr>
        <w:spacing w:after="60"/>
        <w:ind w:firstLine="567"/>
        <w:jc w:val="both"/>
      </w:pPr>
      <w:r>
        <w:rPr>
          <w:rFonts w:ascii="Arial" w:cs="Arial" w:eastAsia="Arial" w:hAnsi="Arial"/>
          <w:sz w:val="24"/>
          <w:szCs w:val="24"/>
        </w:rPr>
        <w:t xml:space="preserve">Характерными признаками субстандартных кредитов являются:</w:t>
      </w:r>
    </w:p>
    <w:p>
      <w:pPr>
        <w:spacing w:after="60"/>
        <w:ind w:firstLine="567"/>
        <w:jc w:val="both"/>
      </w:pPr>
      <w:r>
        <w:rPr>
          <w:rFonts w:ascii="Arial" w:cs="Arial" w:eastAsia="Arial" w:hAnsi="Arial"/>
          <w:sz w:val="24"/>
          <w:szCs w:val="24"/>
        </w:rPr>
        <w:t xml:space="preserve">а) непогашение плановых платежей по процентам и/или основной сумме в течение периода от 31 до 90 дней (включительно) после наступления планового срока платежа;</w:t>
      </w:r>
    </w:p>
    <w:p>
      <w:pPr>
        <w:spacing w:after="60"/>
        <w:ind w:firstLine="567"/>
        <w:jc w:val="both"/>
      </w:pPr>
      <w:r>
        <w:rPr>
          <w:rFonts w:ascii="Arial" w:cs="Arial" w:eastAsia="Arial" w:hAnsi="Arial"/>
          <w:sz w:val="24"/>
          <w:szCs w:val="24"/>
        </w:rPr>
        <w:t xml:space="preserve">б) недостаточность потоков денежных средств заемщика для покрытия задолженности по процентам и/или по основной сумме;</w:t>
      </w:r>
    </w:p>
    <w:p>
      <w:pPr>
        <w:spacing w:after="60"/>
        <w:ind w:firstLine="567"/>
        <w:jc w:val="both"/>
      </w:pPr>
      <w:r>
        <w:rPr>
          <w:rFonts w:ascii="Arial" w:cs="Arial" w:eastAsia="Arial" w:hAnsi="Arial"/>
          <w:sz w:val="24"/>
          <w:szCs w:val="24"/>
        </w:rPr>
        <w:t xml:space="preserve">в) повторная реструктуризация кредита;</w:t>
      </w:r>
    </w:p>
    <w:p>
      <w:pPr>
        <w:spacing w:after="60"/>
        <w:ind w:firstLine="567"/>
        <w:jc w:val="both"/>
      </w:pPr>
      <w:r>
        <w:rPr>
          <w:rFonts w:ascii="Arial" w:cs="Arial" w:eastAsia="Arial" w:hAnsi="Arial"/>
          <w:sz w:val="24"/>
          <w:szCs w:val="24"/>
        </w:rPr>
        <w:t xml:space="preserve">г) кредит не полностью обеспечен залогом или выплата задолженности зависит от реализации залога, либо залог обесценивается и/или становится трудно реализуемым;</w:t>
      </w:r>
    </w:p>
    <w:p>
      <w:pPr>
        <w:spacing w:after="60"/>
        <w:ind w:firstLine="567"/>
        <w:jc w:val="both"/>
      </w:pPr>
      <w:r>
        <w:rPr>
          <w:rFonts w:ascii="Arial" w:cs="Arial" w:eastAsia="Arial" w:hAnsi="Arial"/>
          <w:sz w:val="24"/>
          <w:szCs w:val="24"/>
        </w:rPr>
        <w:t xml:space="preserve">д) наличие у заемщика-физического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кредитов, выданных по целевым государственным программам Правительства Кыргызской Республики, в данном кредитном союзе и/или другой финансово-кредитной организации;</w:t>
      </w:r>
    </w:p>
    <w:p>
      <w:pPr>
        <w:spacing w:after="60"/>
        <w:ind w:firstLine="567"/>
        <w:jc w:val="both"/>
      </w:pPr>
      <w:r>
        <w:rPr>
          <w:rFonts w:ascii="Arial" w:cs="Arial" w:eastAsia="Arial" w:hAnsi="Arial"/>
          <w:sz w:val="24"/>
          <w:szCs w:val="24"/>
        </w:rPr>
        <w:t xml:space="preserve">е) наличие просроченной задолженности по основной сумме и/или процентам более 30 дней по кредиту супруга(и), родителей и детей заемщика-физического лица, в том числе индивидуального предпринимателя без образования юридического лица, перед данным кредитным союзом и/или другими финансово-кредитными организациями, за исключением кредитов, выданных им по целевым государственным программам Правительства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седьмом и восьмом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aonyztxrk_aoqh-u_gtdr">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Классификация кредитов как сомнительных производится в том случае, если:</w:t>
      </w:r>
    </w:p>
    <w:p>
      <w:pPr>
        <w:spacing w:after="60"/>
        <w:ind w:firstLine="567"/>
        <w:jc w:val="both"/>
      </w:pPr>
      <w:r>
        <w:rPr>
          <w:rFonts w:ascii="Arial" w:cs="Arial" w:eastAsia="Arial" w:hAnsi="Arial"/>
          <w:sz w:val="24"/>
          <w:szCs w:val="24"/>
        </w:rPr>
        <w:t xml:space="preserve">а) платежи по процентам и/или по основной сумме задолженности просрочены на срок от 91 до 180 дней (включительно);</w:t>
      </w:r>
    </w:p>
    <w:p>
      <w:pPr>
        <w:spacing w:after="60"/>
        <w:ind w:firstLine="567"/>
        <w:jc w:val="both"/>
      </w:pPr>
      <w:r>
        <w:rPr>
          <w:rFonts w:ascii="Arial" w:cs="Arial" w:eastAsia="Arial" w:hAnsi="Arial"/>
          <w:sz w:val="24"/>
          <w:szCs w:val="24"/>
        </w:rPr>
        <w:t xml:space="preserve">б) по повторно реструктуризированному активу возникли просрочки более чем на 30 дней;</w:t>
      </w:r>
    </w:p>
    <w:p>
      <w:pPr>
        <w:spacing w:after="60"/>
        <w:ind w:firstLine="567"/>
        <w:jc w:val="both"/>
      </w:pPr>
      <w:r>
        <w:rPr>
          <w:rFonts w:ascii="Arial" w:cs="Arial" w:eastAsia="Arial" w:hAnsi="Arial"/>
          <w:sz w:val="24"/>
          <w:szCs w:val="24"/>
        </w:rPr>
        <w:t xml:space="preserve">в) финансовое состояние и платежеспособность заемщика серьезно ухудшились и возможность погашения задолженности перед кредитным союзом сомнительна и маловероятна;</w:t>
      </w:r>
    </w:p>
    <w:p>
      <w:pPr>
        <w:spacing w:after="60"/>
        <w:ind w:firstLine="567"/>
        <w:jc w:val="both"/>
      </w:pPr>
      <w:r>
        <w:rPr>
          <w:rFonts w:ascii="Arial" w:cs="Arial" w:eastAsia="Arial" w:hAnsi="Arial"/>
          <w:sz w:val="24"/>
          <w:szCs w:val="24"/>
        </w:rPr>
        <w:t xml:space="preserve">г) залог отсутствует.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x5x-20uqw46vzp6xoeyk">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К потерям относятся кредиты, в отношении которых имеет место одно из следующих событий:</w:t>
      </w:r>
    </w:p>
    <w:p>
      <w:pPr>
        <w:spacing w:after="60"/>
        <w:ind w:firstLine="567"/>
        <w:jc w:val="both"/>
      </w:pPr>
      <w:r>
        <w:rPr>
          <w:rFonts w:ascii="Arial" w:cs="Arial" w:eastAsia="Arial" w:hAnsi="Arial"/>
          <w:sz w:val="24"/>
          <w:szCs w:val="24"/>
        </w:rPr>
        <w:t xml:space="preserve">а) платежи по процентам и/или по основной сумме просрочены на срок свыше 180 дней;</w:t>
      </w:r>
    </w:p>
    <w:p>
      <w:pPr>
        <w:spacing w:after="60"/>
        <w:ind w:firstLine="567"/>
        <w:jc w:val="both"/>
      </w:pPr>
      <w:r>
        <w:rPr>
          <w:rFonts w:ascii="Arial" w:cs="Arial" w:eastAsia="Arial" w:hAnsi="Arial"/>
          <w:i/>
          <w:iCs/>
          <w:sz w:val="24"/>
          <w:szCs w:val="24"/>
        </w:rPr>
        <w:t xml:space="preserve">б) (утратил силу в соответствии с </w:t>
      </w:r>
      <w:hyperlink w:history="1" r:id="rIdyxt07gvgt7ltu7wjlks9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в) неплатежеспособность или банкротство заемщика.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y6ynwi3tpnkffivak9q">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После отнесения кредита к категории убыточных кредитный союз должен принять все меры по обеспечению возврата основной суммы кредита и процентов по нему. После исчерпания всех юридических возможностей возврата кредита, учет его переносится на забалансовые счета, где должен учитываться не менее пяти лет. В случае возврата кредита, порядок погашения суммы задолженности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3.9. Классификация реструктуризированных кредитов кредитных союзов.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vf4kee5pr28lpj2iz21o">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3.9.1. Реструктуризированные кредиты - это кредиты, по которым кредитный союз предоставляет заемщику преференции (послабления) в индивидуальном порядке путем изменения условии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кредитного союза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кредитного союза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кредитным союзом кредит для погашения другого кредита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7pa0uzxlibtxxsxdz6qt">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кредитном союзе,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zmely8zm2z9tfz_1_dd7">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i2vhvboimc0nekn_2nzz">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bm5ebsmsm1aetxc72ryy">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3.9.5. Классифицированный реструктуризированный актив не может относиться к неклассифицированным кредитам до выполнения условий пункта 3.12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4krcwztjj07fnofl9qz">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3j5zaug0ljl8iq69yxlb">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3.10. Всем кредитам заемщика-физического лица, в том числе индивидуального предпринимателя без образования юридического лица, полученным в данном кредитном союзе, должна быть присвоена наихудшая из классификаций, примененных к его кредитам.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3.11. Классификация прочей собственности в кредитных союзах:</w:t>
      </w:r>
    </w:p>
    <w:p>
      <w:pPr>
        <w:spacing w:after="60"/>
        <w:ind w:firstLine="567"/>
        <w:jc w:val="both"/>
      </w:pPr>
      <w:r>
        <w:rPr>
          <w:rFonts w:ascii="Arial" w:cs="Arial" w:eastAsia="Arial" w:hAnsi="Arial"/>
          <w:sz w:val="24"/>
          <w:szCs w:val="24"/>
        </w:rPr>
        <w:t xml:space="preserve">1) прочая собственность кредитных союзов, т.е. собственность (имущество), принятая в погашение кредитов или активов, подобных кредитам, сразу после признания ее в балансе классифицируется как минимум как субстандартная;</w:t>
      </w:r>
    </w:p>
    <w:p>
      <w:pPr>
        <w:spacing w:after="60"/>
        <w:ind w:firstLine="567"/>
        <w:jc w:val="both"/>
      </w:pPr>
      <w:r>
        <w:rPr>
          <w:rFonts w:ascii="Arial" w:cs="Arial" w:eastAsia="Arial" w:hAnsi="Arial"/>
          <w:sz w:val="24"/>
          <w:szCs w:val="24"/>
        </w:rPr>
        <w:t xml:space="preserve">2) прочая собственность классифицируется как потери, если она не продана кредитным союзом по истечении следующих сроков:</w:t>
      </w:r>
    </w:p>
    <w:p>
      <w:pPr>
        <w:spacing w:after="60"/>
        <w:ind w:firstLine="567"/>
        <w:jc w:val="both"/>
      </w:pPr>
      <w:r>
        <w:rPr>
          <w:rFonts w:ascii="Arial" w:cs="Arial" w:eastAsia="Arial" w:hAnsi="Arial"/>
          <w:sz w:val="24"/>
          <w:szCs w:val="24"/>
        </w:rPr>
        <w:t xml:space="preserve">- одного года - для движимого имущества;</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hyperlink w:history="1" r:id="rIdcmvrag15wm7qehww7cc35">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3.12. В случае погашения всей просроченной задолженности, активы, классифицированные как "сомнительные" или "потери", переводятся в категорию "субстандартные", при этом кредитный союз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q_udhn2roa8kv39dbyug">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Формирование РППУ</w:t>
      </w:r>
    </w:p>
    <w:p>
      <w:pPr>
        <w:spacing w:after="60"/>
        <w:ind w:firstLine="567"/>
        <w:jc w:val="both"/>
      </w:pPr>
      <w:r>
        <w:rPr>
          <w:rFonts w:ascii="Arial" w:cs="Arial" w:eastAsia="Arial" w:hAnsi="Arial"/>
          <w:sz w:val="24"/>
          <w:szCs w:val="24"/>
        </w:rPr>
        <w:t xml:space="preserve">4.1. Кредитные союзы должны поддерживать РППУ на уровне, достаточном для покрытия возможных потерь по кредитам. Сумма резерва определяется по результатам периодических оценок качества кредитов кредитного союза.</w:t>
      </w:r>
    </w:p>
    <w:p>
      <w:pPr>
        <w:spacing w:after="60"/>
        <w:ind w:firstLine="567"/>
        <w:jc w:val="both"/>
      </w:pPr>
      <w:r>
        <w:rPr>
          <w:rFonts w:ascii="Arial" w:cs="Arial" w:eastAsia="Arial" w:hAnsi="Arial"/>
          <w:sz w:val="24"/>
          <w:szCs w:val="24"/>
        </w:rPr>
        <w:t xml:space="preserve">4.2. РППУ учитывается и отражается по балансу кредитного союза на отдельном контрактивном счете к соответствующему счету. В целях определения реального финансового состояния кредитного союза РППУ создается за счет расходов, независимо от размера полученных доходов, в сумме, достаточной для поддержания резерва на уровне, соответствующем текущей оценке качества кредитов кредитного союза.</w:t>
      </w:r>
    </w:p>
    <w:p>
      <w:pPr>
        <w:spacing w:after="60"/>
        <w:ind w:firstLine="567"/>
        <w:jc w:val="both"/>
      </w:pPr>
      <w:r>
        <w:rPr>
          <w:rFonts w:ascii="Arial" w:cs="Arial" w:eastAsia="Arial" w:hAnsi="Arial"/>
          <w:sz w:val="24"/>
          <w:szCs w:val="24"/>
        </w:rPr>
        <w:t xml:space="preserve">4.3. Согласно классификации кредитов производится расчет требуемого размера РППУ по каждому кредиту в соответствии с установленными нормами отчислений. Требуемые отчисления в резерв по каждому кредиту суммируются и определяется итоговый размер РППУ на конец отчетного периода. Для определения адекватности РППУ рассчитанный размер резерва сравнивается с размером резерва, определенного при предыдущей классификации. В случае, когда размер РППУ по балансу меньше, чем его итоговый размер, кредитному союзу необходимо произвести дополнительные отчисления в РППУ, чтобы привести резерв в соответствие с рассчитанным размером на конец отчетного периода. Дополнительные отчисления в РППУ не производятся в случае, если сумма фактически сформированного резерва по балансу больше или равна расчетной сумме РППУ.</w:t>
      </w:r>
    </w:p>
    <w:p>
      <w:pPr>
        <w:spacing w:after="60"/>
        <w:ind w:firstLine="567"/>
        <w:jc w:val="both"/>
      </w:pPr>
      <w:r>
        <w:rPr>
          <w:rFonts w:ascii="Arial" w:cs="Arial" w:eastAsia="Arial" w:hAnsi="Arial"/>
          <w:sz w:val="24"/>
          <w:szCs w:val="24"/>
        </w:rPr>
        <w:t xml:space="preserve">4.4. Сумма РППУ по балансу, которая превышает итоговый требуемый размер на конец отчетного периода (месяца), может быть направлена на уменьшение расходов по созданию РППУ.</w:t>
      </w:r>
    </w:p>
    <w:p>
      <w:pPr>
        <w:spacing w:after="60"/>
        <w:ind w:firstLine="567"/>
        <w:jc w:val="both"/>
      </w:pPr>
      <w:r>
        <w:rPr>
          <w:rFonts w:ascii="Arial" w:cs="Arial" w:eastAsia="Arial" w:hAnsi="Arial"/>
          <w:sz w:val="24"/>
          <w:szCs w:val="24"/>
        </w:rPr>
        <w:t xml:space="preserve">4.5. Каждый кредитный союз обязан производить регулярную (ежемесячную) проверку адекватности РППУ качеству кредитов. В целях недопущения конфликта интересов, оценка адекватности РППУ должна осуществляться лицом (отделом, комитетом), не связанным с выдачей кредитов.</w:t>
      </w:r>
    </w:p>
    <w:p>
      <w:pPr>
        <w:spacing w:after="60"/>
        <w:ind w:firstLine="567"/>
        <w:jc w:val="both"/>
      </w:pPr>
      <w:r>
        <w:rPr>
          <w:rFonts w:ascii="Arial" w:cs="Arial" w:eastAsia="Arial" w:hAnsi="Arial"/>
          <w:sz w:val="24"/>
          <w:szCs w:val="24"/>
        </w:rPr>
        <w:t xml:space="preserve">4.6. Кредитный союз вправе выбрать более консервативный подход к оценке кредитов, для чего в дополнение к настоящему Положению может разработать внутренние положение и процедуры по оценке адекватности кредитных рисков, не нарушая при этом значения отчислений на формирование РППУ, установленные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ffgd4avn9yy-fyrlnw7">
      <w:r>
        <w:rPr>
          <w:rFonts w:ascii="Arial" w:cs="Arial" w:eastAsia="Arial" w:hAnsi="Arial"/>
          <w:color w:val="132D3F"/>
          <w:sz w:val="16"/>
          <w:szCs w:val="16"/>
          <w:u w:val="single"/>
        </w:rPr>
        <w:t xml:space="preserve">dalil.kg/document/800082</w:t>
      </w:r>
    </w:hyperlink>
  </w:p>
  <w:p>
    <w:pPr>
      <w:spacing w:after="0" w:before="40"/>
      <w:jc w:val="center"/>
    </w:pPr>
    <w:hyperlink w:history="1" r:id="rIdgs4pfwxxpoxoyxtq9m7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5o8sbwk1zw_27ulqavr" Type="http://schemas.openxmlformats.org/officeDocument/2006/relationships/hyperlink" Target="https://dalil.kg/document/800081" TargetMode="External"/><Relationship Id="rIdzsjuj9sarot_jn3atc_tj" Type="http://schemas.openxmlformats.org/officeDocument/2006/relationships/hyperlink" Target="https://dalil.kg/document/800078" TargetMode="External"/><Relationship Id="rIdcbbsr-m13tffkfcrieel-" Type="http://schemas.openxmlformats.org/officeDocument/2006/relationships/hyperlink" Target="https://dalil.kg/document/111486" TargetMode="External"/><Relationship Id="rIdlatlbvh0gwbqwul3qr__r" Type="http://schemas.openxmlformats.org/officeDocument/2006/relationships/hyperlink" Target="https://dalil.kg/document/280" TargetMode="External"/><Relationship Id="rIdrhzmims83ksrsutipsqzc" Type="http://schemas.openxmlformats.org/officeDocument/2006/relationships/hyperlink" Target="https://dalil.kg/document/800078" TargetMode="External"/><Relationship Id="rIdkxize8ggmhhrsk6lnklpr" Type="http://schemas.openxmlformats.org/officeDocument/2006/relationships/hyperlink" Target="https://dalil.kg/document/800078" TargetMode="External"/><Relationship Id="rIdaonyztxrk_aoqh-u_gtdr" Type="http://schemas.openxmlformats.org/officeDocument/2006/relationships/hyperlink" Target="https://dalil.kg/document/800078" TargetMode="External"/><Relationship Id="rId5x5x-20uqw46vzp6xoeyk" Type="http://schemas.openxmlformats.org/officeDocument/2006/relationships/hyperlink" Target="https://dalil.kg/document/800078" TargetMode="External"/><Relationship Id="rIdyxt07gvgt7ltu7wjlks9o" Type="http://schemas.openxmlformats.org/officeDocument/2006/relationships/hyperlink" Target="https://dalil.kg/document/800078" TargetMode="External"/><Relationship Id="rIdi-y6ynwi3tpnkffivak9q" Type="http://schemas.openxmlformats.org/officeDocument/2006/relationships/hyperlink" Target="https://dalil.kg/document/800078" TargetMode="External"/><Relationship Id="rIdvvf4kee5pr28lpj2iz21o" Type="http://schemas.openxmlformats.org/officeDocument/2006/relationships/hyperlink" Target="https://dalil.kg/document/800078" TargetMode="External"/><Relationship Id="rIdm7pa0uzxlibtxxsxdz6qt" Type="http://schemas.openxmlformats.org/officeDocument/2006/relationships/hyperlink" Target="https://dalil.kg/document/800078" TargetMode="External"/><Relationship Id="rIdyzmely8zm2z9tfz_1_dd7" Type="http://schemas.openxmlformats.org/officeDocument/2006/relationships/hyperlink" Target="https://dalil.kg/document/800078" TargetMode="External"/><Relationship Id="rIdci2vhvboimc0nekn_2nzz" Type="http://schemas.openxmlformats.org/officeDocument/2006/relationships/hyperlink" Target="https://dalil.kg/document/800078" TargetMode="External"/><Relationship Id="rIdqbm5ebsmsm1aetxc72ryy" Type="http://schemas.openxmlformats.org/officeDocument/2006/relationships/hyperlink" Target="https://dalil.kg/document/800078" TargetMode="External"/><Relationship Id="rId-g4krcwztjj07fnofl9qz" Type="http://schemas.openxmlformats.org/officeDocument/2006/relationships/hyperlink" Target="https://dalil.kg/document/800078" TargetMode="External"/><Relationship Id="rId63j5zaug0ljl8iq69yxlb" Type="http://schemas.openxmlformats.org/officeDocument/2006/relationships/hyperlink" Target="https://dalil.kg/document/800078" TargetMode="External"/><Relationship Id="rIdcmvrag15wm7qehww7cc35" Type="http://schemas.openxmlformats.org/officeDocument/2006/relationships/hyperlink" Target="https://dalil.kg/document/800078" TargetMode="External"/><Relationship Id="rIdeq_udhn2roa8kv39dbyug" Type="http://schemas.openxmlformats.org/officeDocument/2006/relationships/hyperlink" Target="https://dalil.kg/document/80007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ffgd4avn9yy-fyrlnw7" Type="http://schemas.openxmlformats.org/officeDocument/2006/relationships/hyperlink" Target="https://dalil.kg/document/800082" TargetMode="External"/><Relationship Id="rIdgs4pfwxxpoxoyxtq9m7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2026-09-25T04:29:22.106Z</dcterms:created>
  <dcterms:modified xsi:type="dcterms:W3CDTF">2026-09-25T04:29:22.106Z</dcterms:modified>
</cp:coreProperties>
</file>

<file path=docProps/custom.xml><?xml version="1.0" encoding="utf-8"?>
<Properties xmlns="http://schemas.openxmlformats.org/officeDocument/2006/custom-properties" xmlns:vt="http://schemas.openxmlformats.org/officeDocument/2006/docPropsVTypes"/>
</file>