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 февраля 2008 года. Регистрационный номер 6-08 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glzsowng-cbt5wwteah2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периодическом регулятивном отчете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Правления Нацбанка КР от </w:t>
      </w:r>
      <w:hyperlink w:history="1" r:id="rIdjngotdf5lddrk-baqkbm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декабря 2009 года N 49/17,</w:t>
        </w:r>
      </w:hyperlink>
      <w:hyperlink w:history="1" r:id="rIdm10-0gvsyaplpxcmpe87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января 2012 года N 2/2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hklnhh_qvdtsimrk5lkd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апреля 2012 года N 18/9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e5zzk-oiblu2plgsz0nf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_njsn-t0pshk-mxe8fmt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Настоящее Положение определяет единую форму периодической регулятивной отчетности (далее по тексту ПРО) для кредитных союзов (далее по тексту 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1.2. Действие положения "О периодическом регулятивном отчете кредитного союза" распространяется на все КС, лицензируемые Национальным банком Кыргызской Республики (далее по тексту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1.3. ПРО составляется на основе данных бухгалтерского учета и внесистемного учета КС.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ПРО составляется в целях проведения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финансового состояния КС в рамках выполняемых Национальным банком Кыргызской Республики функций, закрепленных в </w:t>
      </w:r>
      <w:hyperlink w:history="1" r:id="rIdwb53ehscr9imndzxg6f_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 О Национальном банке Кыргызской Республики, банках и банковской деятельности" и </w:t>
      </w:r>
      <w:hyperlink w:history="1" r:id="rIdgksklkwqrfds_rcwqg6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кредитных союзах";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деятельности КС для принятия руководителями КС решений по обеспечению ликвидности, платежеспособности и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Главная задача ПРО - представление достоверной и полной информации об экономической и хозяйственной деятельности КС для обеспечения выполнения целей, указанных в пункте 2.1.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и периодичность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ПРО представляет собой отчетность о деятельности КС в установленной форме за определенный период и представляемую в установленный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Состав отчетности в сводном виде, краткое содержание и сроки представления отчетов приведены в </w:t>
      </w:r>
      <w:hyperlink w:history="1" r:id="rId_qq1ilzwo2h70qb4vs0_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Отчет за 4 квартал является годовым и предоставляется в Национальный банк не позднее 1 февраля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3.4. ПРО состоит из 7 Форм.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В каждом КС должен быть назначен сотрудник, отвечающий за полноту содержания, сроки представления и правильность заполнения ПРО.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ПРО представляется в Национальный банк по формам согласно </w:t>
      </w:r>
      <w:hyperlink w:history="1" r:id="rId6oczxuujp_f922jdx3i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Положению в установленные для каждого отчета сроки на бумажных и электронных носителях информации. Электронные версии ПРО должны быть сформированы по шаблонам,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riwvqsk09mz2nvsjr65s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КС, расположенные в Чуйской области и г.Бишкек,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КС должны представить отчеты на других электронных носителях (USB - флэш накопителе).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ppdvew-1ddv87ep2-x8-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4.3-1. КС,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Областные управления и Баткенское представительство Национального банка направляют ПРО в УФСО в агрегированном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jyd-4lpnu5bg2vpf621t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уведомляет КC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Откорректированные отчеты вместе с сопроводительным письмом КC должны быть представлены в Национальный банк в течение 5 рабочих дней после получения уведомления о наличии несоответствий в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4.5.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письменного уведомления Национального банка об исправлении ПРО, ПРО считается принятым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4.6. Периодический регулятивный отчет должен быть представлен в установленной форме: с подписью председателя и главного бухгалтера КС на каждой форме, вместе с сопроводительным письмом. ПРО должен содержать достоверную информацию о состоянии КС на отчетную дату.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За несвоевременное и/или недостоверное представление информации, за непредставление информации, за неполное и/или некорректное заполнение ПРО, КС, а также Председатель Правления и бухгалтер КС несут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20 января 2016 года № 4/5)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КС должны обеспечить хранение вторых экземпляров ПРО, предоставляемых в Национальный банк.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  <w:r>
        <w:rPr>
          <w:rFonts w:ascii="Arial" w:cs="Arial" w:eastAsia="Arial" w:hAnsi="Arial"/>
          <w:sz w:val="20"/>
          <w:szCs w:val="20"/>
        </w:rPr>
        <w:t xml:space="preserve">
 к положению "О периодическом регулятивном отчете кредитного союза", утвержденному постановлением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периодического регулятивного отчета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1"/>
        <w:gridCol w:w="4022"/>
        <w:gridCol w:w="1588"/>
        <w:gridCol w:w="3467"/>
      </w:tblGrid>
      <w:tr>
        <w:tc>
          <w:tcPr>
            <w:tcW w:type="dxa" w:w="1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разделов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Периодичность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Сроки представления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Активы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3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Отчеты за 1, 2, 3 и 4 кварталы в течение 15 календарных дней со дня окончания отчетного квартала.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 отчет не позднее 20 числа, следующего за отчетным годом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и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Забалансовые обязательства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доходах и расходах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по кредитному портфелю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Классификация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Классификация финансового лизинга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Кредитный портфель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Финансовый лизинг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Информация по привлеченным средствам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крупных заемщиках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крупных проблемных заемщиках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Реструктуризированные кредиты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Объем принятых депозитов с разбивкой по срокам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Объем принятых депозитов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Движение депозитов за отчетный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Размеры минимальных, средних и максимальных депозитов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Процентная ставка по привлекаемым депозитам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подлежащих к погашению и погашенных кредитов за отчетный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Состав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Участники, заемщики и вкладчики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Сведения по размерам сберегательного пая и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месторасположении и территории действия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Условия изъятия сберегательного пая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Дивиденды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Краткосрочные обязательства (срок выплаты по которым наступает в течение 30 дней)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 Расшифровка по операциям размещения и инвестициям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соблюдении экономических нормативов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  <w:r>
        <w:rPr>
          <w:rFonts w:ascii="Arial" w:cs="Arial" w:eastAsia="Arial" w:hAnsi="Arial"/>
          <w:sz w:val="20"/>
          <w:szCs w:val="20"/>
        </w:rPr>
        <w:t xml:space="preserve">
 к положению "О периодическом регулятивном отчете кредитного союза", утвержденному постановлением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ПЕРИОДИЧЕСКИЙ РЕГУЛЯТИВНЫЙ ОТЧЕТ
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Правления Нацбанка КР от </w:t>
      </w:r>
      <w:hyperlink w:history="1" r:id="rIdngobt444jtcsxsmfaiah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января 2012 года N 2/2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lpdzkfdnxwekkec0ecsi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15 </w:t>
      </w:r>
      <w:hyperlink w:history="1" r:id="rIdowdkvfmd4qyejihtgudz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августа 2018 года № 2018-П-33/33-8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  к положению "О Периодическом регулятивном отчете кредитного союза", утвержденному постановлением Правления НБКР №_____ от «____» _____________201____ г. 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3"/>
        <w:gridCol w:w="675"/>
        <w:gridCol w:w="755"/>
        <w:gridCol w:w="1060"/>
        <w:gridCol w:w="1060"/>
        <w:gridCol w:w="1060"/>
        <w:gridCol w:w="1155"/>
        <w:gridCol w:w="828"/>
        <w:gridCol w:w="721"/>
        <w:gridCol w:w="1222"/>
      </w:tblGrid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Соответствующего структурного подразделения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А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Национального банка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ДСП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3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Периодический Регулятивный Отчет кредитного союза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No.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представления)</w:t>
            </w:r>
          </w:p>
        </w:tc>
        <w:tc>
          <w:tcPr>
            <w:tcW w:type="dxa" w:w="181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(вход./исх.)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:</w:t>
            </w:r>
          </w:p>
        </w:tc>
        <w:tc>
          <w:tcPr>
            <w:tcW w:type="dxa" w:w="181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Составлен: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/день, месяц, год/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/день, месяц, год/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3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Периодичность:  ежеквартальный; - годовой;  - корректировка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отчета подтверждена: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внутренней проверкой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аудитом без заключения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аудитом с заключением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Отчитывающееся учреждение:</w:t>
            </w:r>
          </w:p>
        </w:tc>
        <w:tc>
          <w:tcPr>
            <w:tcW w:type="dxa" w:w="5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3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/укажите наименование КС крупными печатными буквами/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 УДОСТОВЕРЕНИЕ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Председатель Правления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</w:t>
            </w:r>
          </w:p>
        </w:tc>
        <w:tc>
          <w:tcPr>
            <w:tcW w:type="dxa" w:w="27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(подпись)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Главный бухгалтер: 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</w:t>
            </w:r>
          </w:p>
        </w:tc>
        <w:tc>
          <w:tcPr>
            <w:tcW w:type="dxa" w:w="27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(подпись)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ответственное за составление отчета</w:t>
            </w:r>
          </w:p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194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для заполнения сотрудниками Соответствующего структурного подразделения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21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рассмотрение</w:t>
            </w:r>
          </w:p>
        </w:tc>
        <w:tc>
          <w:tcPr>
            <w:tcW w:type="dxa" w:w="1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549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 проверки</w:t>
            </w:r>
          </w:p>
        </w:tc>
        <w:tc>
          <w:tcPr>
            <w:tcW w:type="dxa" w:w="1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f6zrhrysijjl96f5l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dalil.kg/document/800084</w:t>
      </w:r>
    </w:hyperlink>
  </w:p>
  <w:p>
    <w:pPr>
      <w:spacing w:after="0" w:before="40"/>
      <w:jc w:val="center"/>
    </w:pPr>
    <w:hyperlink w:history="1" r:id="rIdznv7ueeuty_jao8mcvn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zsowng-cbt5wwteah2a" Type="http://schemas.openxmlformats.org/officeDocument/2006/relationships/hyperlink" Target="https://dalil.kg/document/800083" TargetMode="External"/><Relationship Id="rIdjngotdf5lddrk-baqkbmd" Type="http://schemas.openxmlformats.org/officeDocument/2006/relationships/hyperlink" Target="https://dalil.kg/document/301262" TargetMode="External"/><Relationship Id="rIdm10-0gvsyaplpxcmpe87q" Type="http://schemas.openxmlformats.org/officeDocument/2006/relationships/hyperlink" Target="https://dalil.kg/document/302517" TargetMode="External"/><Relationship Id="rIdhklnhh_qvdtsimrk5lkdl" Type="http://schemas.openxmlformats.org/officeDocument/2006/relationships/hyperlink" Target="https://dalil.kg/document/302520" TargetMode="External"/><Relationship Id="rIde5zzk-oiblu2plgsz0nfe" Type="http://schemas.openxmlformats.org/officeDocument/2006/relationships/hyperlink" Target="https://dalil.kg/document/302905" TargetMode="External"/><Relationship Id="rId_njsn-t0pshk-mxe8fmtk" Type="http://schemas.openxmlformats.org/officeDocument/2006/relationships/hyperlink" Target="https://dalil.kg/document/800078" TargetMode="External"/><Relationship Id="rIdwb53ehscr9imndzxg6f_f" Type="http://schemas.openxmlformats.org/officeDocument/2006/relationships/hyperlink" Target="https://dalil.kg/document/111486" TargetMode="External"/><Relationship Id="rIdgksklkwqrfds_rcwqg6gb" Type="http://schemas.openxmlformats.org/officeDocument/2006/relationships/hyperlink" Target="https://dalil.kg/document/280" TargetMode="External"/><Relationship Id="rId_qq1ilzwo2h70qb4vs0_7" Type="http://schemas.openxmlformats.org/officeDocument/2006/relationships/hyperlink" Target="https://dalil.kg/document/800084#p1" TargetMode="External"/><Relationship Id="rId6oczxuujp_f922jdx3izc" Type="http://schemas.openxmlformats.org/officeDocument/2006/relationships/hyperlink" Target="https://dalil.kg/document/800084#p2" TargetMode="External"/><Relationship Id="rIdriwvqsk09mz2nvsjr65sf" Type="http://schemas.openxmlformats.org/officeDocument/2006/relationships/hyperlink" Target="https://dalil.kg/document/302905" TargetMode="External"/><Relationship Id="rIdppdvew-1ddv87ep2-x8-j" Type="http://schemas.openxmlformats.org/officeDocument/2006/relationships/hyperlink" Target="https://dalil.kg/document/302905" TargetMode="External"/><Relationship Id="rIdjyd-4lpnu5bg2vpf621tm" Type="http://schemas.openxmlformats.org/officeDocument/2006/relationships/hyperlink" Target="https://dalil.kg/document/302905" TargetMode="External"/><Relationship Id="rIdngobt444jtcsxsmfaiah3" Type="http://schemas.openxmlformats.org/officeDocument/2006/relationships/hyperlink" Target="https://dalil.kg/document/302517" TargetMode="External"/><Relationship Id="rIdlpdzkfdnxwekkec0ecsi4" Type="http://schemas.openxmlformats.org/officeDocument/2006/relationships/hyperlink" Target="https://dalil.kg/document/800078" TargetMode="External"/><Relationship Id="rIdowdkvfmd4qyejihtgudzz" Type="http://schemas.openxmlformats.org/officeDocument/2006/relationships/hyperlink" Target="https://dalil.kg/document/80021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f6zrhrysijjl96f5l5s" Type="http://schemas.openxmlformats.org/officeDocument/2006/relationships/hyperlink" Target="https://dalil.kg/document/800084" TargetMode="External"/><Relationship Id="rIdznv7ueeuty_jao8mcvn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2026-09-24T13:04:44.987Z</dcterms:created>
  <dcterms:modified xsi:type="dcterms:W3CDTF">2026-09-24T13:04:44.987Z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