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июня 2017 года № 2017-П-12/25-7-(НПА)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43</w:t>
      </w:r>
      <w:r>
        <w:rPr>
          <w:rFonts w:ascii="Arial" w:cs="Arial" w:eastAsia="Arial" w:hAnsi="Arial"/>
          <w:sz w:val="24"/>
          <w:szCs w:val="24"/>
        </w:rPr>
        <w:t xml:space="preserve"> </w:t>
      </w:r>
      <w:hyperlink w:history="1" r:id="rId2umlml6vwfth7sdstw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lrnrcmxzyohyzahfn8sxe">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tybucwt-pqs14zux_gk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6ywigr8d2kbperuskose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от 28 июня 2006 года № 19/2;</w:t>
      </w:r>
    </w:p>
    <w:p>
      <w:pPr>
        <w:spacing w:after="60"/>
        <w:ind w:firstLine="567"/>
        <w:jc w:val="both"/>
      </w:pPr>
      <w:r>
        <w:rPr>
          <w:rFonts w:ascii="Arial" w:cs="Arial" w:eastAsia="Arial" w:hAnsi="Arial"/>
          <w:sz w:val="24"/>
          <w:szCs w:val="24"/>
        </w:rPr>
        <w:t xml:space="preserve">- </w:t>
      </w:r>
      <w:hyperlink w:history="1" r:id="rIdbo85oreepgq5yvlyaho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yir7f_zjgfhmvcngvwn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от 28 июня 2006 года № 19/3;</w:t>
      </w:r>
    </w:p>
    <w:p>
      <w:pPr>
        <w:spacing w:after="60"/>
        <w:ind w:firstLine="567"/>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управлению операционным риском в коммерческих банках Кыргызской Республики" от 15 декабря 2005 года № 37/5;</w:t>
      </w:r>
    </w:p>
    <w:p>
      <w:pPr>
        <w:spacing w:after="60"/>
        <w:ind w:firstLine="567"/>
        <w:jc w:val="both"/>
      </w:pPr>
      <w:r>
        <w:rPr>
          <w:rFonts w:ascii="Arial" w:cs="Arial" w:eastAsia="Arial" w:hAnsi="Arial"/>
          <w:sz w:val="24"/>
          <w:szCs w:val="24"/>
        </w:rPr>
        <w:t xml:space="preserve">- </w:t>
      </w:r>
      <w:hyperlink w:history="1" r:id="rIdbzksuufvawosjoihmup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w:t>
      </w:r>
      <w:hyperlink w:history="1" r:id="rIdpeilq-mpffji_5myip2l9">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от 20 ноября 2003 года № 32/7.</w:t>
      </w:r>
    </w:p>
    <w:p>
      <w:pPr>
        <w:spacing w:after="60"/>
        <w:ind w:firstLine="567"/>
        <w:jc w:val="both"/>
      </w:pPr>
      <w:r>
        <w:rPr>
          <w:rFonts w:ascii="Arial" w:cs="Arial" w:eastAsia="Arial" w:hAnsi="Arial"/>
          <w:sz w:val="24"/>
          <w:szCs w:val="24"/>
        </w:rPr>
        <w:t xml:space="preserve">2. Настоящее постановление вступает в силу с 22 июня 2017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Т.Джусупова.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15 июня 2017 года № 2017-П-12/25-7-(НПА)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7pbcw6smpcfxkam9-im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xkbswc0tclwqvl2qqgw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от 28 июня 2006 года № 19/2 следующие изменения и дополнение:</w:t>
      </w:r>
    </w:p>
    <w:p>
      <w:pPr>
        <w:spacing w:after="60"/>
        <w:ind w:firstLine="567"/>
        <w:jc w:val="both"/>
      </w:pPr>
      <w:r>
        <w:rPr>
          <w:rFonts w:ascii="Arial" w:cs="Arial" w:eastAsia="Arial" w:hAnsi="Arial"/>
          <w:sz w:val="24"/>
          <w:szCs w:val="24"/>
        </w:rPr>
        <w:t xml:space="preserve">- в наименовании, в преамбуле и в пункте 1 </w:t>
      </w:r>
      <w:hyperlink w:history="1" r:id="rIdaxlk4qra2x-9qhdicj8r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в </w:t>
      </w:r>
      <w:hyperlink w:history="1" r:id="rIdjdbxzsdsblgtcqex7wmt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утвержденном вышеуказанным </w:t>
      </w:r>
      <w:hyperlink w:history="1" r:id="rIdewdihwe_2u9j2lmvtdq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w:t>
      </w:r>
      <w:hyperlink w:history="1" r:id="rIdlnw0-vgrsz9f9lzzuwit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в наименовании </w:t>
      </w:r>
      <w:hyperlink w:history="1" r:id="rIdfqhcdomx6jxmdh42d7rq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нему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Положение</w:t>
      </w:r>
      <w:r>
        <w:rPr>
          <w:rFonts w:ascii="Arial" w:cs="Arial" w:eastAsia="Arial" w:hAnsi="Arial"/>
          <w:sz w:val="24"/>
          <w:szCs w:val="24"/>
        </w:rPr>
        <w:t xml:space="preserve"> определяет основные элементы и принципы управления рыночным риском в соответствии со стандартами благоразумной банковской практики, и являющиеся дополнительным руководством для банков по минимальным требованиям к системе управления рисками (см. Примечание 1), которые предусматривают, как минимум, следующее:</w:t>
      </w:r>
    </w:p>
    <w:p>
      <w:pPr>
        <w:spacing w:after="60"/>
        <w:ind w:firstLine="567"/>
        <w:jc w:val="both"/>
      </w:pPr>
      <w:r>
        <w:rPr>
          <w:rFonts w:ascii="Arial" w:cs="Arial" w:eastAsia="Arial" w:hAnsi="Arial"/>
          <w:sz w:val="24"/>
          <w:szCs w:val="24"/>
        </w:rPr>
        <w:t xml:space="preserve">- цели и задачи управления рыночным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рыночного риска и мониторинга за уровнем рыночного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рыночного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рыночного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рыночным риском);</w:t>
      </w:r>
    </w:p>
    <w:p>
      <w:pPr>
        <w:spacing w:after="60"/>
        <w:ind w:firstLine="567"/>
        <w:jc w:val="both"/>
      </w:pPr>
      <w:r>
        <w:rPr>
          <w:rFonts w:ascii="Arial" w:cs="Arial" w:eastAsia="Arial" w:hAnsi="Arial"/>
          <w:sz w:val="24"/>
          <w:szCs w:val="24"/>
        </w:rPr>
        <w:t xml:space="preserve">- порядок управления рыночным риском при изменении структуры финансовых инструментов, их количественных и стоимостных показателей, разработке и внедрении новых технологий и условий осуществления банковских операций и других сделок, иных финансовых инноваций и технологий, при выходе на новые рынки;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рыночным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рыночным риском.";</w:t>
      </w:r>
    </w:p>
    <w:p>
      <w:pPr>
        <w:spacing w:after="60"/>
        <w:ind w:firstLine="567"/>
        <w:jc w:val="both"/>
      </w:pPr>
      <w:r>
        <w:rPr>
          <w:rFonts w:ascii="Arial" w:cs="Arial" w:eastAsia="Arial" w:hAnsi="Arial"/>
          <w:sz w:val="24"/>
          <w:szCs w:val="24"/>
        </w:rPr>
        <w:t xml:space="preserve">- примечание 1 к пункту 1.2. изложить в следующей редакции:</w:t>
      </w:r>
    </w:p>
    <w:p>
      <w:pPr>
        <w:spacing w:after="60"/>
        <w:ind w:firstLine="567"/>
        <w:jc w:val="both"/>
      </w:pPr>
      <w:r>
        <w:rPr>
          <w:rFonts w:ascii="Arial" w:cs="Arial" w:eastAsia="Arial" w:hAnsi="Arial"/>
          <w:sz w:val="24"/>
          <w:szCs w:val="24"/>
        </w:rPr>
        <w:t xml:space="preserve">"Примечание 1. В соответствии с Положением "О минимальных требованиях по управлению рисками в банках Кыргызской Республики", утверждаемым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 пункт 2.2 дополнить подпунктом 2.2.4. следующего содержания:</w:t>
      </w:r>
    </w:p>
    <w:p>
      <w:pPr>
        <w:spacing w:after="60"/>
        <w:ind w:firstLine="567"/>
        <w:jc w:val="both"/>
      </w:pPr>
      <w:r>
        <w:rPr>
          <w:rFonts w:ascii="Arial" w:cs="Arial" w:eastAsia="Arial" w:hAnsi="Arial"/>
          <w:sz w:val="24"/>
          <w:szCs w:val="24"/>
        </w:rPr>
        <w:t xml:space="preserve">"2.2.4. Риск кривой доходности - это риск, который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 индекса или рынка.</w:t>
      </w:r>
    </w:p>
    <w:p>
      <w:pPr>
        <w:spacing w:after="60"/>
        <w:ind w:firstLine="567"/>
        <w:jc w:val="both"/>
      </w:pPr>
      <w:r>
        <w:rPr>
          <w:rFonts w:ascii="Arial" w:cs="Arial" w:eastAsia="Arial" w:hAnsi="Arial"/>
          <w:sz w:val="24"/>
          <w:szCs w:val="24"/>
        </w:rPr>
        <w:t xml:space="preserve">Изменения кривой доходности могут подчеркнуть риск позиции банка, усилив при этом эффект несовпадения сроков.";</w:t>
      </w:r>
    </w:p>
    <w:p>
      <w:pPr>
        <w:spacing w:after="60"/>
        <w:ind w:firstLine="567"/>
        <w:jc w:val="both"/>
      </w:pPr>
      <w:r>
        <w:rPr>
          <w:rFonts w:ascii="Arial" w:cs="Arial" w:eastAsia="Arial" w:hAnsi="Arial"/>
          <w:sz w:val="24"/>
          <w:szCs w:val="24"/>
        </w:rPr>
        <w:t xml:space="preserve">- в пункте 3.10 аббревиатуру "НБКР" заменить словами "Национальный банк Кыргызской Республики";</w:t>
      </w:r>
    </w:p>
    <w:p>
      <w:pPr>
        <w:spacing w:after="60"/>
        <w:ind w:firstLine="567"/>
        <w:jc w:val="both"/>
      </w:pPr>
      <w:r>
        <w:rPr>
          <w:rFonts w:ascii="Arial" w:cs="Arial" w:eastAsia="Arial" w:hAnsi="Arial"/>
          <w:sz w:val="24"/>
          <w:szCs w:val="24"/>
        </w:rPr>
        <w:t xml:space="preserve">- примечание 6 к подпункту 5.2.1 изложить в следующей редакции:</w:t>
      </w:r>
    </w:p>
    <w:p>
      <w:pPr>
        <w:spacing w:after="60"/>
        <w:ind w:firstLine="567"/>
        <w:jc w:val="both"/>
      </w:pPr>
      <w:r>
        <w:rPr>
          <w:rFonts w:ascii="Arial" w:cs="Arial" w:eastAsia="Arial" w:hAnsi="Arial"/>
          <w:sz w:val="24"/>
          <w:szCs w:val="24"/>
        </w:rPr>
        <w:t xml:space="preserve">"Примечание 6. В соответствии с Инструкцией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утверждаемой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2. Внести в </w:t>
      </w:r>
      <w:hyperlink w:history="1" r:id="rId8j-savm7anzdmyrkr8v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br43mrj9rdt0w0kket5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от 28 июня 2006 года № 19/3 следующие изменения:</w:t>
      </w:r>
    </w:p>
    <w:p>
      <w:pPr>
        <w:spacing w:after="60"/>
        <w:ind w:firstLine="567"/>
        <w:jc w:val="both"/>
      </w:pPr>
      <w:r>
        <w:rPr>
          <w:rFonts w:ascii="Arial" w:cs="Arial" w:eastAsia="Arial" w:hAnsi="Arial"/>
          <w:sz w:val="24"/>
          <w:szCs w:val="24"/>
        </w:rPr>
        <w:t xml:space="preserve">- в наименовании, в преамбуле и в пункте 1 </w:t>
      </w:r>
      <w:hyperlink w:history="1" r:id="rIdf5mq6s9wsdkytn72otrn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в </w:t>
      </w:r>
      <w:hyperlink w:history="1" r:id="rIdbfqn0obifsjmnrh1zj2y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утвержденном вышеуказанным </w:t>
      </w:r>
      <w:hyperlink w:history="1" r:id="rIdv-cdo-tobt4pn5os-t4j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Положения слова "финансово-кредитных учреждениях" заменить словами "финансово-кредитных организациях";</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Настоящее </w:t>
      </w:r>
      <w:r>
        <w:rPr>
          <w:rFonts w:ascii="Arial" w:cs="Arial" w:eastAsia="Arial" w:hAnsi="Arial"/>
          <w:sz w:val="24"/>
          <w:szCs w:val="24"/>
        </w:rPr>
        <w:t xml:space="preserve">Положение</w:t>
      </w:r>
      <w:r>
        <w:rPr>
          <w:rFonts w:ascii="Arial" w:cs="Arial" w:eastAsia="Arial" w:hAnsi="Arial"/>
          <w:sz w:val="24"/>
          <w:szCs w:val="24"/>
        </w:rPr>
        <w:t xml:space="preserve">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страновым риском.";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Целью настоящего </w:t>
      </w:r>
      <w:r>
        <w:rPr>
          <w:rFonts w:ascii="Arial" w:cs="Arial" w:eastAsia="Arial" w:hAnsi="Arial"/>
          <w:sz w:val="24"/>
          <w:szCs w:val="24"/>
        </w:rPr>
        <w:t xml:space="preserve">Положения</w:t>
      </w:r>
      <w:r>
        <w:rPr>
          <w:rFonts w:ascii="Arial" w:cs="Arial" w:eastAsia="Arial" w:hAnsi="Arial"/>
          <w:sz w:val="24"/>
          <w:szCs w:val="24"/>
        </w:rPr>
        <w:t xml:space="preserve"> является установление минимальных требований к политикам, процедурам и внутреннему контролю в банках для формирования в банках адекватной системы управления страновым риском, включая риск перевода (трансфертный риск) и суверенный риск, которые предусматривают, как минимум, следующее:</w:t>
      </w:r>
    </w:p>
    <w:p>
      <w:pPr>
        <w:spacing w:after="60"/>
        <w:ind w:firstLine="567"/>
        <w:jc w:val="both"/>
      </w:pPr>
      <w:r>
        <w:rPr>
          <w:rFonts w:ascii="Arial" w:cs="Arial" w:eastAsia="Arial" w:hAnsi="Arial"/>
          <w:sz w:val="24"/>
          <w:szCs w:val="24"/>
        </w:rPr>
        <w:t xml:space="preserve">- задачи управления страновым риском;</w:t>
      </w:r>
    </w:p>
    <w:p>
      <w:pPr>
        <w:spacing w:after="60"/>
        <w:ind w:firstLine="567"/>
        <w:jc w:val="both"/>
      </w:pPr>
      <w:r>
        <w:rPr>
          <w:rFonts w:ascii="Arial" w:cs="Arial" w:eastAsia="Arial" w:hAnsi="Arial"/>
          <w:sz w:val="24"/>
          <w:szCs w:val="24"/>
        </w:rPr>
        <w:t xml:space="preserve">- порядок выявления, оценки, определения приемлемого уровня странового риска и мониторинга за уровнем странового риска, в том числе на консолидированной основе;</w:t>
      </w:r>
    </w:p>
    <w:p>
      <w:pPr>
        <w:spacing w:after="60"/>
        <w:ind w:firstLine="567"/>
        <w:jc w:val="both"/>
      </w:pPr>
      <w:r>
        <w:rPr>
          <w:rFonts w:ascii="Arial" w:cs="Arial" w:eastAsia="Arial" w:hAnsi="Arial"/>
          <w:sz w:val="24"/>
          <w:szCs w:val="24"/>
        </w:rPr>
        <w:t xml:space="preserve">- принятие мер по поддержанию приемлемого уровня странового риска, включающих в том числе контроль и/или минимизацию риска;</w:t>
      </w:r>
    </w:p>
    <w:p>
      <w:pPr>
        <w:spacing w:after="60"/>
        <w:ind w:firstLine="567"/>
        <w:jc w:val="both"/>
      </w:pPr>
      <w:r>
        <w:rPr>
          <w:rFonts w:ascii="Arial" w:cs="Arial" w:eastAsia="Arial" w:hAnsi="Arial"/>
          <w:sz w:val="24"/>
          <w:szCs w:val="24"/>
        </w:rPr>
        <w:t xml:space="preserve">- порядок информационного обеспечения по вопросам странового риска (порядок обмена информацией между подразделениями и служащими, порядок и периодичность представления отчетной и иной информации по вопросам управления страновым риском);</w:t>
      </w:r>
    </w:p>
    <w:p>
      <w:pPr>
        <w:spacing w:after="60"/>
        <w:ind w:firstLine="567"/>
        <w:jc w:val="both"/>
      </w:pPr>
      <w:r>
        <w:rPr>
          <w:rFonts w:ascii="Arial" w:cs="Arial" w:eastAsia="Arial" w:hAnsi="Arial"/>
          <w:sz w:val="24"/>
          <w:szCs w:val="24"/>
        </w:rPr>
        <w:t xml:space="preserve">- порядок управления страновым риском при осуществлении валютного банковского обслуживания, при разработке и внедрении новых форм и условий осуществления банковских операций и других сделок, финансовых инноваций и технологий, при выходе на новые рынки (по видам услуг, по видам валют и по территориальной (страновой) принадлежности);</w:t>
      </w:r>
    </w:p>
    <w:p>
      <w:pPr>
        <w:spacing w:after="60"/>
        <w:ind w:firstLine="567"/>
        <w:jc w:val="both"/>
      </w:pPr>
      <w:r>
        <w:rPr>
          <w:rFonts w:ascii="Arial" w:cs="Arial" w:eastAsia="Arial" w:hAnsi="Arial"/>
          <w:sz w:val="24"/>
          <w:szCs w:val="24"/>
        </w:rPr>
        <w:t xml:space="preserve">- распределение полномочий и ответственности между Советом директоров, исполнительными органами, подразделениями и служащими в части реализации основных принципов управления страновым риском;</w:t>
      </w:r>
    </w:p>
    <w:p>
      <w:pPr>
        <w:spacing w:after="60"/>
        <w:ind w:firstLine="567"/>
        <w:jc w:val="both"/>
      </w:pPr>
      <w:r>
        <w:rPr>
          <w:rFonts w:ascii="Arial" w:cs="Arial" w:eastAsia="Arial" w:hAnsi="Arial"/>
          <w:sz w:val="24"/>
          <w:szCs w:val="24"/>
        </w:rPr>
        <w:t xml:space="preserve">- порядок осуществления контроля за эффективностью управления страновым риском.";</w:t>
      </w:r>
    </w:p>
    <w:p>
      <w:pPr>
        <w:spacing w:after="60"/>
        <w:ind w:firstLine="567"/>
        <w:jc w:val="both"/>
      </w:pPr>
      <w:r>
        <w:rPr>
          <w:rFonts w:ascii="Arial" w:cs="Arial" w:eastAsia="Arial" w:hAnsi="Arial"/>
          <w:sz w:val="24"/>
          <w:szCs w:val="24"/>
        </w:rPr>
        <w:t xml:space="preserve">- подпункт 2.3.2. изложить в следующей редакции:</w:t>
      </w:r>
    </w:p>
    <w:p>
      <w:pPr>
        <w:spacing w:after="60"/>
        <w:ind w:firstLine="567"/>
        <w:jc w:val="both"/>
      </w:pPr>
      <w:r>
        <w:rPr>
          <w:rFonts w:ascii="Arial" w:cs="Arial" w:eastAsia="Arial" w:hAnsi="Arial"/>
          <w:sz w:val="24"/>
          <w:szCs w:val="24"/>
        </w:rPr>
        <w:t xml:space="preserve">"2.3.2. Суверенный риск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погашать свои обязательства и обслуживать свои долги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sz w:val="24"/>
          <w:szCs w:val="24"/>
        </w:rPr>
        <w:t xml:space="preserve">- в пункте 4.10. слово "учреждения" заменить словом "организации".</w:t>
      </w:r>
    </w:p>
    <w:p>
      <w:pPr>
        <w:spacing w:after="60"/>
        <w:ind w:firstLine="567"/>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минимальных требованиях по управлению операционным риском в коммерческих банках Кыргызской Республики" от 15 декабря 2005 года № 37/5 следующие изменение и дополнение:</w:t>
      </w:r>
    </w:p>
    <w:p>
      <w:pPr>
        <w:spacing w:after="60"/>
        <w:ind w:firstLine="567"/>
        <w:jc w:val="both"/>
      </w:pPr>
      <w:r>
        <w:rPr>
          <w:rFonts w:ascii="Arial" w:cs="Arial" w:eastAsia="Arial" w:hAnsi="Arial"/>
          <w:sz w:val="24"/>
          <w:szCs w:val="24"/>
        </w:rPr>
        <w:t xml:space="preserve">в Положении "О минимальных требованиях по управлению операционным риском в коммерческих банках Кыргызской Республики", утвержденном вышеуказанным постановлением: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"Настоящее Положение устанавливает обязательные для соблюдения коммерческими банками и Государственным банком развития Кыргызской Республики (далее - банки) минимальные требования к организации управления операционным риском.";</w:t>
      </w:r>
    </w:p>
    <w:p>
      <w:pPr>
        <w:spacing w:after="60"/>
        <w:ind w:firstLine="567"/>
        <w:jc w:val="both"/>
      </w:pPr>
      <w:r>
        <w:rPr>
          <w:rFonts w:ascii="Arial" w:cs="Arial" w:eastAsia="Arial" w:hAnsi="Arial"/>
          <w:sz w:val="24"/>
          <w:szCs w:val="24"/>
        </w:rPr>
        <w:t xml:space="preserve">- пункт 2.2.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 процедура, регламентирующая в случаях наступления форс-мажорных обстоятельств (таких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 порядок перевода работы на резервный центр (при наличии), и взаимодействие персонала системы;";</w:t>
      </w:r>
    </w:p>
    <w:p>
      <w:pPr>
        <w:spacing w:after="60"/>
        <w:ind w:firstLine="567"/>
        <w:jc w:val="both"/>
      </w:pPr>
      <w:r>
        <w:rPr>
          <w:rFonts w:ascii="Arial" w:cs="Arial" w:eastAsia="Arial" w:hAnsi="Arial"/>
          <w:sz w:val="24"/>
          <w:szCs w:val="24"/>
        </w:rPr>
        <w:t xml:space="preserve">- дополнить пунктом 2.9. следующего содержания:</w:t>
      </w:r>
    </w:p>
    <w:p>
      <w:pPr>
        <w:spacing w:after="60"/>
        <w:ind w:firstLine="567"/>
        <w:jc w:val="both"/>
      </w:pPr>
      <w:r>
        <w:rPr>
          <w:rFonts w:ascii="Arial" w:cs="Arial" w:eastAsia="Arial" w:hAnsi="Arial"/>
          <w:sz w:val="24"/>
          <w:szCs w:val="24"/>
        </w:rPr>
        <w:t xml:space="preserve">"2.9. В целях управления операционными рисками, все банки должны обеспечить комплекс мер для восстановления и возобновления функционирования своих внутренних информационных систем согласно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4. Внести в </w:t>
      </w:r>
      <w:hyperlink w:history="1" r:id="rIdpoy0zxtbr2h49v8stg-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основных требованиях к Комитету по аудиту" от 20 ноября 2003 года № 32/7 следующие изменения:</w:t>
      </w:r>
    </w:p>
    <w:p>
      <w:pPr>
        <w:spacing w:after="60"/>
        <w:ind w:firstLine="567"/>
        <w:jc w:val="both"/>
      </w:pPr>
      <w:r>
        <w:rPr>
          <w:rFonts w:ascii="Arial" w:cs="Arial" w:eastAsia="Arial" w:hAnsi="Arial"/>
          <w:sz w:val="24"/>
          <w:szCs w:val="24"/>
        </w:rPr>
        <w:t xml:space="preserve">в </w:t>
      </w:r>
      <w:hyperlink w:history="1" r:id="rId0auqtdfbuubdlt4g111bw">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утвержденных вышеуказанным </w:t>
      </w:r>
      <w:hyperlink w:history="1" r:id="rIdzgddr89mkrhr1te08ix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Настоящие </w:t>
      </w:r>
      <w:hyperlink w:history="1" r:id="rIdoqwaf51tixamff5kf3aw6">
        <w:r>
          <w:rPr>
            <w:rFonts w:ascii="Arial" w:cs="Arial" w:eastAsia="Arial" w:hAnsi="Arial"/>
            <w:color w:val="1D4ED8"/>
            <w:sz w:val="24"/>
            <w:szCs w:val="24"/>
            <w:u w:val="single"/>
          </w:rPr>
          <w:t xml:space="preserve">Основные требования</w:t>
        </w:r>
      </w:hyperlink>
      <w:r>
        <w:rPr>
          <w:rFonts w:ascii="Arial" w:cs="Arial" w:eastAsia="Arial" w:hAnsi="Arial"/>
          <w:sz w:val="24"/>
          <w:szCs w:val="24"/>
        </w:rPr>
        <w:t xml:space="preserve"> устанавливают обязательные для соблюдения коммерческими банками, а также банками, осуществляющими операции в соответствии с исламскими принципами банковского дела и финансирования, ОАО "Финансовая компания кредитных союзов"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Комитет должен состоять как минимум из трех членов Совета Директоров банка, назначаемых общим собранием акционеров банка. Два из трех членов Совета директоров должны быть независимыми членами. При этом независимость означает, что членом Комитета не могут быть:</w:t>
      </w:r>
    </w:p>
    <w:p>
      <w:pPr>
        <w:spacing w:after="60"/>
        <w:ind w:firstLine="567"/>
        <w:jc w:val="both"/>
      </w:pPr>
      <w:r>
        <w:rPr>
          <w:rFonts w:ascii="Arial" w:cs="Arial" w:eastAsia="Arial" w:hAnsi="Arial"/>
          <w:sz w:val="24"/>
          <w:szCs w:val="24"/>
        </w:rPr>
        <w:t xml:space="preserve">- члены Правления и работники банка;</w:t>
      </w:r>
    </w:p>
    <w:p>
      <w:pPr>
        <w:spacing w:after="60"/>
        <w:ind w:firstLine="567"/>
        <w:jc w:val="both"/>
      </w:pPr>
      <w:r>
        <w:rPr>
          <w:rFonts w:ascii="Arial" w:cs="Arial" w:eastAsia="Arial" w:hAnsi="Arial"/>
          <w:sz w:val="24"/>
          <w:szCs w:val="24"/>
        </w:rPr>
        <w:t xml:space="preserve">- деловые партнеры акционера банка;</w:t>
      </w:r>
    </w:p>
    <w:p>
      <w:pPr>
        <w:spacing w:after="60"/>
        <w:ind w:firstLine="567"/>
        <w:jc w:val="both"/>
      </w:pPr>
      <w:r>
        <w:rPr>
          <w:rFonts w:ascii="Arial" w:cs="Arial" w:eastAsia="Arial" w:hAnsi="Arial"/>
          <w:sz w:val="24"/>
          <w:szCs w:val="24"/>
        </w:rPr>
        <w:t xml:space="preserve">- члены Совета директоров и акционеры другого банка.</w:t>
      </w:r>
    </w:p>
    <w:p>
      <w:pPr>
        <w:spacing w:after="60"/>
        <w:ind w:firstLine="567"/>
        <w:jc w:val="both"/>
      </w:pPr>
      <w:r>
        <w:rPr>
          <w:rFonts w:ascii="Arial" w:cs="Arial" w:eastAsia="Arial" w:hAnsi="Arial"/>
          <w:sz w:val="24"/>
          <w:szCs w:val="24"/>
        </w:rPr>
        <w:t xml:space="preserve">При этом Председатель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fpw7wy1ptorxeub3sn6">
      <w:r>
        <w:rPr>
          <w:rFonts w:ascii="Arial" w:cs="Arial" w:eastAsia="Arial" w:hAnsi="Arial"/>
          <w:color w:val="132D3F"/>
          <w:sz w:val="16"/>
          <w:szCs w:val="16"/>
          <w:u w:val="single"/>
        </w:rPr>
        <w:t xml:space="preserve">dalil.kg/document/800089</w:t>
      </w:r>
    </w:hyperlink>
  </w:p>
  <w:p>
    <w:pPr>
      <w:spacing w:after="0" w:before="40"/>
      <w:jc w:val="center"/>
    </w:pPr>
    <w:hyperlink w:history="1" r:id="rId6l4vfwmhl23enfll3x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mlml6vwfth7sdstwc8-" Type="http://schemas.openxmlformats.org/officeDocument/2006/relationships/hyperlink" Target="https://dalil.kg/document/559" TargetMode="External"/><Relationship Id="rIdlrnrcmxzyohyzahfn8sxe" Type="http://schemas.openxmlformats.org/officeDocument/2006/relationships/hyperlink" Target="https://dalil.kg/document/800089#p1" TargetMode="External"/><Relationship Id="rIdtybucwt-pqs14zux_gkav" Type="http://schemas.openxmlformats.org/officeDocument/2006/relationships/hyperlink" Target="https://dalil.kg/document/303049" TargetMode="External"/><Relationship Id="rId6ywigr8d2kbperuskose8" Type="http://schemas.openxmlformats.org/officeDocument/2006/relationships/hyperlink" Target="https://dalil.kg/document/303050" TargetMode="External"/><Relationship Id="rIdbo85oreepgq5yvlyahoy6" Type="http://schemas.openxmlformats.org/officeDocument/2006/relationships/hyperlink" Target="https://dalil.kg/document/800091" TargetMode="External"/><Relationship Id="rIdtyir7f_zjgfhmvcngvwno" Type="http://schemas.openxmlformats.org/officeDocument/2006/relationships/hyperlink" Target="https://dalil.kg/document/800092" TargetMode="External"/><Relationship Id="rIdbzksuufvawosjoihmupsj" Type="http://schemas.openxmlformats.org/officeDocument/2006/relationships/hyperlink" Target="https://dalil.kg/document/300272" TargetMode="External"/><Relationship Id="rIdpeilq-mpffji_5myip2l9" Type="http://schemas.openxmlformats.org/officeDocument/2006/relationships/hyperlink" Target="https://dalil.kg/document/300272" TargetMode="External"/><Relationship Id="rId7pbcw6smpcfxkam9-im8t" Type="http://schemas.openxmlformats.org/officeDocument/2006/relationships/hyperlink" Target="https://dalil.kg/document/303049" TargetMode="External"/><Relationship Id="rIdxxkbswc0tclwqvl2qqgws" Type="http://schemas.openxmlformats.org/officeDocument/2006/relationships/hyperlink" Target="https://dalil.kg/document/303050" TargetMode="External"/><Relationship Id="rIdaxlk4qra2x-9qhdicj8rz" Type="http://schemas.openxmlformats.org/officeDocument/2006/relationships/hyperlink" Target="https://dalil.kg/document/303049" TargetMode="External"/><Relationship Id="rIdjdbxzsdsblgtcqex7wmtr" Type="http://schemas.openxmlformats.org/officeDocument/2006/relationships/hyperlink" Target="https://dalil.kg/document/303050" TargetMode="External"/><Relationship Id="rIdewdihwe_2u9j2lmvtdqph" Type="http://schemas.openxmlformats.org/officeDocument/2006/relationships/hyperlink" Target="https://dalil.kg/document/303049" TargetMode="External"/><Relationship Id="rIdlnw0-vgrsz9f9lzzuwitk" Type="http://schemas.openxmlformats.org/officeDocument/2006/relationships/hyperlink" Target="https://dalil.kg/document/303050" TargetMode="External"/><Relationship Id="rIdfqhcdomx6jxmdh42d7rqb" Type="http://schemas.openxmlformats.org/officeDocument/2006/relationships/hyperlink" Target="https://dalil.kg/document/303050#p1" TargetMode="External"/><Relationship Id="rId8j-savm7anzdmyrkr8vxv" Type="http://schemas.openxmlformats.org/officeDocument/2006/relationships/hyperlink" Target="https://dalil.kg/document/800091" TargetMode="External"/><Relationship Id="rIdebr43mrj9rdt0w0kket54" Type="http://schemas.openxmlformats.org/officeDocument/2006/relationships/hyperlink" Target="https://dalil.kg/document/800092" TargetMode="External"/><Relationship Id="rIdf5mq6s9wsdkytn72otrn3" Type="http://schemas.openxmlformats.org/officeDocument/2006/relationships/hyperlink" Target="https://dalil.kg/document/800091" TargetMode="External"/><Relationship Id="rIdbfqn0obifsjmnrh1zj2yx" Type="http://schemas.openxmlformats.org/officeDocument/2006/relationships/hyperlink" Target="https://dalil.kg/document/800092" TargetMode="External"/><Relationship Id="rIdv-cdo-tobt4pn5os-t4j6" Type="http://schemas.openxmlformats.org/officeDocument/2006/relationships/hyperlink" Target="https://dalil.kg/document/800091" TargetMode="External"/><Relationship Id="rIdpoy0zxtbr2h49v8stg-kv" Type="http://schemas.openxmlformats.org/officeDocument/2006/relationships/hyperlink" Target="https://dalil.kg/document/300272" TargetMode="External"/><Relationship Id="rId0auqtdfbuubdlt4g111bw" Type="http://schemas.openxmlformats.org/officeDocument/2006/relationships/hyperlink" Target="https://dalil.kg/document/300272" TargetMode="External"/><Relationship Id="rIdzgddr89mkrhr1te08ixsr" Type="http://schemas.openxmlformats.org/officeDocument/2006/relationships/hyperlink" Target="https://dalil.kg/document/300272" TargetMode="External"/><Relationship Id="rIdoqwaf51tixamff5kf3aw6" Type="http://schemas.openxmlformats.org/officeDocument/2006/relationships/hyperlink" Target="https://dalil.kg/document/30027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fpw7wy1ptorxeub3sn6" Type="http://schemas.openxmlformats.org/officeDocument/2006/relationships/hyperlink" Target="https://dalil.kg/document/800089" TargetMode="External"/><Relationship Id="rId6l4vfwmhl23enfll3x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2026-09-25T09:11:36.225Z</dcterms:created>
  <dcterms:modified xsi:type="dcterms:W3CDTF">2026-09-25T09:11:36.225Z</dcterms:modified>
</cp:coreProperties>
</file>

<file path=docProps/custom.xml><?xml version="1.0" encoding="utf-8"?>
<Properties xmlns="http://schemas.openxmlformats.org/officeDocument/2006/custom-properties" xmlns:vt="http://schemas.openxmlformats.org/officeDocument/2006/docPropsVTypes"/>
</file>