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31 мая 2017 года № 21/10</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vbksuyzc_svep7won3bal">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7 и 43 </w:t>
      </w:r>
      <w:hyperlink w:history="1" r:id="rIdvextbkvduq2bhxyuoor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1skyrzgzqfnpxj_j1slow">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(прилагается):</w:t>
      </w:r>
    </w:p>
    <w:p>
      <w:pPr>
        <w:spacing w:after="60"/>
        <w:ind w:firstLine="567"/>
        <w:jc w:val="both"/>
      </w:pPr>
      <w:r>
        <w:rPr>
          <w:rFonts w:ascii="Arial" w:cs="Arial" w:eastAsia="Arial" w:hAnsi="Arial"/>
          <w:sz w:val="24"/>
          <w:szCs w:val="24"/>
        </w:rPr>
        <w:t xml:space="preserve">- </w:t>
      </w:r>
      <w:hyperlink w:history="1" r:id="rIdf6xhszr16swx3yjl_rl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qf_33lyiir6huo-rnzx5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w:t>
      </w:r>
    </w:p>
    <w:p>
      <w:pPr>
        <w:spacing w:after="60"/>
        <w:ind w:firstLine="567"/>
        <w:jc w:val="both"/>
      </w:pPr>
      <w:r>
        <w:rPr>
          <w:rFonts w:ascii="Arial" w:cs="Arial" w:eastAsia="Arial" w:hAnsi="Arial"/>
          <w:i/>
          <w:iCs/>
          <w:sz w:val="24"/>
          <w:szCs w:val="24"/>
        </w:rPr>
        <w:t xml:space="preserve">- (абзац 3 утратил силу в соответствии с </w:t>
      </w:r>
      <w:hyperlink w:history="1" r:id="rIdkj1pboh-sk7uogtck4d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18 июля 2018 года № 2018-П-12/30-3)</w:t>
      </w:r>
    </w:p>
    <w:p>
      <w:pPr>
        <w:spacing w:after="60"/>
        <w:ind w:firstLine="567"/>
        <w:jc w:val="both"/>
      </w:pPr>
      <w:r>
        <w:rPr>
          <w:rFonts w:ascii="Arial" w:cs="Arial" w:eastAsia="Arial" w:hAnsi="Arial"/>
          <w:sz w:val="24"/>
          <w:szCs w:val="24"/>
        </w:rPr>
        <w:t xml:space="preserve">- </w:t>
      </w:r>
      <w:hyperlink w:history="1" r:id="rId8jj8dwbo0h1sosw6npq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ypssqzhfjgdn95ilfyh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w:t>
      </w:r>
    </w:p>
    <w:p>
      <w:pPr>
        <w:spacing w:after="60"/>
        <w:ind w:firstLine="567"/>
        <w:jc w:val="both"/>
      </w:pPr>
      <w:r>
        <w:rPr>
          <w:rFonts w:ascii="Arial" w:cs="Arial" w:eastAsia="Arial" w:hAnsi="Arial"/>
          <w:sz w:val="24"/>
          <w:szCs w:val="24"/>
        </w:rPr>
        <w:t xml:space="preserve">- </w:t>
      </w:r>
      <w:hyperlink w:history="1" r:id="rIdre-ssha27vvqcrhcdbf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q1z5q11yrzpwufp27hxl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w:t>
      </w:r>
    </w:p>
    <w:p>
      <w:pPr>
        <w:spacing w:after="60"/>
        <w:ind w:firstLine="567"/>
        <w:jc w:val="both"/>
      </w:pPr>
      <w:r>
        <w:rPr>
          <w:rFonts w:ascii="Arial" w:cs="Arial" w:eastAsia="Arial" w:hAnsi="Arial"/>
          <w:sz w:val="24"/>
          <w:szCs w:val="24"/>
        </w:rPr>
        <w:t xml:space="preserve">- </w:t>
      </w:r>
      <w:hyperlink w:history="1" r:id="rIdeut0ograokhidrfgxjc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ji3zwh9qwd9oou9w_nn4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w:t>
      </w:r>
    </w:p>
    <w:p>
      <w:pPr>
        <w:spacing w:after="60"/>
        <w:ind w:firstLine="567"/>
        <w:jc w:val="both"/>
      </w:pPr>
      <w:r>
        <w:rPr>
          <w:rFonts w:ascii="Arial" w:cs="Arial" w:eastAsia="Arial" w:hAnsi="Arial"/>
          <w:sz w:val="24"/>
          <w:szCs w:val="24"/>
        </w:rPr>
        <w:t xml:space="preserve">- </w:t>
      </w:r>
      <w:hyperlink w:history="1" r:id="rIdk7kjlrfxj0yjluo1f15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eeyzgj7ehb_vihet8bn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 № 60/8;</w:t>
      </w:r>
    </w:p>
    <w:p>
      <w:pPr>
        <w:spacing w:after="60"/>
        <w:ind w:firstLine="567"/>
        <w:jc w:val="both"/>
      </w:pPr>
      <w:r>
        <w:rPr>
          <w:rFonts w:ascii="Arial" w:cs="Arial" w:eastAsia="Arial" w:hAnsi="Arial"/>
          <w:sz w:val="24"/>
          <w:szCs w:val="24"/>
        </w:rPr>
        <w:t xml:space="preserve">- </w:t>
      </w:r>
      <w:hyperlink w:history="1" r:id="rIdzs1ldfjmwlwju4tji8a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rqroiuhrta-9v-ijdwj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от 23 октября 2013 года № 39/9;</w:t>
      </w:r>
    </w:p>
    <w:p>
      <w:pPr>
        <w:spacing w:after="60"/>
        <w:ind w:firstLine="567"/>
        <w:jc w:val="both"/>
      </w:pPr>
      <w:r>
        <w:rPr>
          <w:rFonts w:ascii="Arial" w:cs="Arial" w:eastAsia="Arial" w:hAnsi="Arial"/>
          <w:sz w:val="24"/>
          <w:szCs w:val="24"/>
        </w:rPr>
        <w:t xml:space="preserve">- </w:t>
      </w:r>
      <w:hyperlink w:history="1" r:id="rIdj7wxvdbckj7eczre1lm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ud_6yi4zim7cjccxfqx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w:t>
      </w:r>
    </w:p>
    <w:p>
      <w:pPr>
        <w:spacing w:after="60"/>
        <w:ind w:firstLine="567"/>
        <w:jc w:val="both"/>
      </w:pPr>
      <w:r>
        <w:rPr>
          <w:rFonts w:ascii="Arial" w:cs="Arial" w:eastAsia="Arial" w:hAnsi="Arial"/>
          <w:sz w:val="24"/>
          <w:szCs w:val="24"/>
        </w:rPr>
        <w:t xml:space="preserve">- </w:t>
      </w:r>
      <w:hyperlink w:history="1" r:id="rIdhnuasaqsufrguhjiu5f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qavdfpfudqhwzwfzwxz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q17es40nl4ah8blqpvtl">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с 22 июня 2017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действующих коммерческих банков, микрофинансовых организаций, кредитных союзов, их объединений (ассоциаций), ОАО "Финансовая компания кредитных союзов", ОЮЛ "Ассоциация исламских финансов",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Т.Дж.Джусупова.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31 мая 2017 года № 21/10</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afn9povruigi9mhffrqek">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ibfusl_zz3vj8b7fnwv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azerl1tm2xl024drwms3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cz0vk_aji1djwuq2drz7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w:history="1" r:id="rIdm4urhh0pbwepjtxdfdu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w:t>
      </w:r>
      <w:hyperlink w:history="1" r:id="rIdc3nkbdbgbvbdvowwfr_8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банки, осуществляющие операции в соответствии с исламскими принципами банковского дела и финансирования, включая банки, имеющие "исламское окно" (далее - банки).</w:t>
      </w:r>
    </w:p>
    <w:p>
      <w:pPr>
        <w:spacing w:after="60"/>
        <w:ind w:firstLine="567"/>
        <w:jc w:val="both"/>
      </w:pPr>
      <w:r>
        <w:rPr>
          <w:rFonts w:ascii="Arial" w:cs="Arial" w:eastAsia="Arial" w:hAnsi="Arial"/>
          <w:sz w:val="24"/>
          <w:szCs w:val="24"/>
        </w:rPr>
        <w:t xml:space="preserve">Эффективное корпоративное управление в банках является одним из важнейших условий обеспечения стабильного развития отдельных банков и банковской системы в целом.</w:t>
      </w:r>
    </w:p>
    <w:p>
      <w:pPr>
        <w:spacing w:after="60"/>
        <w:ind w:firstLine="567"/>
        <w:jc w:val="both"/>
      </w:pPr>
      <w:r>
        <w:rPr>
          <w:rFonts w:ascii="Arial" w:cs="Arial" w:eastAsia="Arial" w:hAnsi="Arial"/>
          <w:sz w:val="24"/>
          <w:szCs w:val="24"/>
        </w:rPr>
        <w:t xml:space="preserve">Для целей настоящего </w:t>
      </w:r>
      <w:hyperlink w:history="1" r:id="rIdipn93by4mqoxgljkrmf2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используются следующие определения:</w:t>
      </w:r>
    </w:p>
    <w:p>
      <w:pPr>
        <w:spacing w:after="60"/>
        <w:ind w:firstLine="567"/>
        <w:jc w:val="both"/>
      </w:pPr>
      <w:r>
        <w:rPr>
          <w:rFonts w:ascii="Arial" w:cs="Arial" w:eastAsia="Arial" w:hAnsi="Arial"/>
          <w:sz w:val="24"/>
          <w:szCs w:val="24"/>
        </w:rPr>
        <w:t xml:space="preserve">- инвестиционные счета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60"/>
        <w:ind w:firstLine="567"/>
        <w:jc w:val="both"/>
      </w:pPr>
      <w:r>
        <w:rPr>
          <w:rFonts w:ascii="Arial" w:cs="Arial" w:eastAsia="Arial" w:hAnsi="Arial"/>
          <w:sz w:val="24"/>
          <w:szCs w:val="24"/>
        </w:rPr>
        <w:t xml:space="preserve">- фидуциарная ответственность - это ответственность:</w:t>
      </w:r>
    </w:p>
    <w:p>
      <w:pPr>
        <w:spacing w:after="60"/>
        <w:ind w:firstLine="567"/>
        <w:jc w:val="both"/>
      </w:pPr>
      <w:r>
        <w:rPr>
          <w:rFonts w:ascii="Arial" w:cs="Arial" w:eastAsia="Arial" w:hAnsi="Arial"/>
          <w:sz w:val="24"/>
          <w:szCs w:val="24"/>
        </w:rPr>
        <w:t xml:space="preserve">а) банка перед своими клиентами по соблюдению правил и принципов шариата;</w:t>
      </w:r>
    </w:p>
    <w:p>
      <w:pPr>
        <w:spacing w:after="60"/>
        <w:ind w:firstLine="567"/>
        <w:jc w:val="both"/>
      </w:pPr>
      <w:r>
        <w:rPr>
          <w:rFonts w:ascii="Arial" w:cs="Arial" w:eastAsia="Arial" w:hAnsi="Arial"/>
          <w:sz w:val="24"/>
          <w:szCs w:val="24"/>
        </w:rPr>
        <w:t xml:space="preserve">б) банка по надлежащему управлению денежными средствами держателей инвестиционных счетов и соблюдению условий, оговоренных в договорах мудараба;</w:t>
      </w:r>
    </w:p>
    <w:p>
      <w:pPr>
        <w:spacing w:after="60"/>
        <w:ind w:firstLine="567"/>
        <w:jc w:val="both"/>
      </w:pPr>
      <w:r>
        <w:rPr>
          <w:rFonts w:ascii="Arial" w:cs="Arial" w:eastAsia="Arial" w:hAnsi="Arial"/>
          <w:sz w:val="24"/>
          <w:szCs w:val="24"/>
        </w:rPr>
        <w:t xml:space="preserve">- профиль риска - сочетание показателей риска банка, основанных на собранной, проанализированной и систематизированной информации, которая характеризует подверженность банка рискам по направлениям деятельности с учетом сложившихся приоритетов.";</w:t>
      </w:r>
    </w:p>
    <w:p>
      <w:pPr>
        <w:spacing w:after="60"/>
        <w:ind w:firstLine="567"/>
        <w:jc w:val="both"/>
      </w:pPr>
      <w:r>
        <w:rPr>
          <w:rFonts w:ascii="Arial" w:cs="Arial" w:eastAsia="Arial" w:hAnsi="Arial"/>
          <w:sz w:val="24"/>
          <w:szCs w:val="24"/>
        </w:rPr>
        <w:t xml:space="preserve">- девятый абзац пункта 3 изложить в следующей редакции:</w:t>
      </w:r>
    </w:p>
    <w:p>
      <w:pPr>
        <w:spacing w:after="60"/>
        <w:ind w:firstLine="567"/>
        <w:jc w:val="both"/>
      </w:pPr>
      <w:r>
        <w:rPr>
          <w:rFonts w:ascii="Arial" w:cs="Arial" w:eastAsia="Arial" w:hAnsi="Arial"/>
          <w:sz w:val="24"/>
          <w:szCs w:val="24"/>
        </w:rPr>
        <w:t xml:space="preserve">"Методологической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и Совета Исламских Финансовых Услуг, которые размещены на сайте Банка международных расчетов (Швейцария) www.bis.org и на сайте Совета исламских финансовых услуг (IFSB) www.ifsb.org, а также принципы корпоративного управления ОЭСР, размещенные на сайте www.oecd.org.";</w:t>
      </w:r>
    </w:p>
    <w:p>
      <w:pPr>
        <w:spacing w:after="60"/>
        <w:ind w:firstLine="567"/>
        <w:jc w:val="both"/>
      </w:pPr>
      <w:r>
        <w:rPr>
          <w:rFonts w:ascii="Arial" w:cs="Arial" w:eastAsia="Arial" w:hAnsi="Arial"/>
          <w:sz w:val="24"/>
          <w:szCs w:val="24"/>
        </w:rPr>
        <w:t xml:space="preserve">- </w:t>
      </w:r>
      <w:hyperlink w:history="1" r:id="rIdi66kv9rcb7d9_px2rrqm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3-1 следующего содержания:</w:t>
      </w:r>
    </w:p>
    <w:p>
      <w:pPr>
        <w:spacing w:after="60"/>
        <w:ind w:firstLine="567"/>
        <w:jc w:val="both"/>
      </w:pPr>
      <w:r>
        <w:rPr>
          <w:rFonts w:ascii="Arial" w:cs="Arial" w:eastAsia="Arial" w:hAnsi="Arial"/>
          <w:sz w:val="24"/>
          <w:szCs w:val="24"/>
        </w:rPr>
        <w:t xml:space="preserve">"3-1. В банке могут быть разработаны внутренние нормативные документы, направленные на реализацию эффективного корпоративного управления и не противоречащие настоящему </w:t>
      </w:r>
      <w:hyperlink w:history="1" r:id="rIdfjrptfkuufwpbvkroe5t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абзацем следующего содержания:</w:t>
      </w:r>
    </w:p>
    <w:p>
      <w:pPr>
        <w:spacing w:after="60"/>
        <w:ind w:firstLine="567"/>
        <w:jc w:val="both"/>
      </w:pPr>
      <w:r>
        <w:rPr>
          <w:rFonts w:ascii="Arial" w:cs="Arial" w:eastAsia="Arial" w:hAnsi="Arial"/>
          <w:sz w:val="24"/>
          <w:szCs w:val="24"/>
        </w:rPr>
        <w:t xml:space="preserve">"Акционеры банка и их аффилированные лица, должностные лица банка, а также связанные с банком лица должны иметь безупречную деловую репутацию в соответствии с требованиями, установленными </w:t>
      </w:r>
      <w:hyperlink w:history="1" r:id="rIdhemfj4cegfechrerngb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требованиями Национального банка по лицензированию деятельности банков,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Вопросы, отнесенные к исключительной компетенции общего собрания акционеров банка, определены Законом и </w:t>
      </w:r>
      <w:hyperlink w:history="1" r:id="rIdkhaqzk-rdyrzs82fijm5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 </w:t>
      </w:r>
      <w:hyperlink w:history="1" r:id="rIdn2bxwhwwqhvvcaptgroi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9-1 следующего содержания:</w:t>
      </w:r>
    </w:p>
    <w:p>
      <w:pPr>
        <w:spacing w:after="60"/>
        <w:ind w:firstLine="567"/>
        <w:jc w:val="both"/>
      </w:pPr>
      <w:r>
        <w:rPr>
          <w:rFonts w:ascii="Arial" w:cs="Arial" w:eastAsia="Arial" w:hAnsi="Arial"/>
          <w:sz w:val="24"/>
          <w:szCs w:val="24"/>
        </w:rPr>
        <w:t xml:space="preserve">"9-1.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Совет директоров банка - орган управления банка, осуществляющий общее руководство банком в период между общими собраниями акционеров.</w:t>
      </w:r>
    </w:p>
    <w:p>
      <w:pPr>
        <w:spacing w:after="60"/>
        <w:ind w:firstLine="567"/>
        <w:jc w:val="both"/>
      </w:pPr>
      <w:r>
        <w:rPr>
          <w:rFonts w:ascii="Arial" w:cs="Arial" w:eastAsia="Arial" w:hAnsi="Arial"/>
          <w:sz w:val="24"/>
          <w:szCs w:val="24"/>
        </w:rPr>
        <w:t xml:space="preserve">Совет директоров осуществляет контроль за управлением банком и его финансовым состоянием и подотчетен общему собранию акционеров банка.";</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Совет директоров в обязательном порядке создает следующие комитеты:</w:t>
      </w:r>
    </w:p>
    <w:p>
      <w:pPr>
        <w:spacing w:after="60"/>
        <w:ind w:firstLine="567"/>
        <w:jc w:val="both"/>
      </w:pPr>
      <w:r>
        <w:rPr>
          <w:rFonts w:ascii="Arial" w:cs="Arial" w:eastAsia="Arial" w:hAnsi="Arial"/>
          <w:sz w:val="24"/>
          <w:szCs w:val="24"/>
        </w:rPr>
        <w:t xml:space="preserve">1) Комитет по управлению рисками, обеспечивающий контроль за деятельностью Правления банка в вопросах управления рисками, которые принимает на себя банк;</w:t>
      </w:r>
    </w:p>
    <w:p>
      <w:pPr>
        <w:spacing w:after="60"/>
        <w:ind w:firstLine="567"/>
        <w:jc w:val="both"/>
      </w:pPr>
      <w:r>
        <w:rPr>
          <w:rFonts w:ascii="Arial" w:cs="Arial" w:eastAsia="Arial" w:hAnsi="Arial"/>
          <w:sz w:val="24"/>
          <w:szCs w:val="24"/>
        </w:rPr>
        <w:t xml:space="preserve">2) Комитет по аудиту;</w:t>
      </w:r>
    </w:p>
    <w:p>
      <w:pPr>
        <w:spacing w:after="60"/>
        <w:ind w:firstLine="567"/>
        <w:jc w:val="both"/>
      </w:pPr>
      <w:r>
        <w:rPr>
          <w:rFonts w:ascii="Arial" w:cs="Arial" w:eastAsia="Arial" w:hAnsi="Arial"/>
          <w:sz w:val="24"/>
          <w:szCs w:val="24"/>
        </w:rPr>
        <w:t xml:space="preserve">3) Комитет по назначениям и вознаграждениям.</w:t>
      </w:r>
    </w:p>
    <w:p>
      <w:pPr>
        <w:spacing w:after="60"/>
        <w:ind w:firstLine="567"/>
        <w:jc w:val="both"/>
      </w:pPr>
      <w:r>
        <w:rPr>
          <w:rFonts w:ascii="Arial" w:cs="Arial" w:eastAsia="Arial" w:hAnsi="Arial"/>
          <w:sz w:val="24"/>
          <w:szCs w:val="24"/>
        </w:rPr>
        <w:t xml:space="preserve">В банке также могут создаваться Комитет по корпоративному управлению, Комитет по новым продуктам, Комитет по комплаенс-контролю и другие комитеты.</w:t>
      </w:r>
    </w:p>
    <w:p>
      <w:pPr>
        <w:spacing w:after="60"/>
        <w:ind w:firstLine="567"/>
        <w:jc w:val="both"/>
      </w:pPr>
      <w:r>
        <w:rPr>
          <w:rFonts w:ascii="Arial" w:cs="Arial" w:eastAsia="Arial" w:hAnsi="Arial"/>
          <w:sz w:val="24"/>
          <w:szCs w:val="24"/>
        </w:rPr>
        <w:t xml:space="preserve">Деятельность комитетов Совета директоров должна соответствовать требованиям Национального банка и внутренним документам банка.</w:t>
      </w:r>
    </w:p>
    <w:p>
      <w:pPr>
        <w:spacing w:after="60"/>
        <w:ind w:firstLine="567"/>
        <w:jc w:val="both"/>
      </w:pPr>
      <w:r>
        <w:rPr>
          <w:rFonts w:ascii="Arial" w:cs="Arial" w:eastAsia="Arial" w:hAnsi="Arial"/>
          <w:sz w:val="24"/>
          <w:szCs w:val="24"/>
        </w:rPr>
        <w:t xml:space="preserve">Банк должен создать иные комитеты в целях усиления корпоративного управления в банке, в частности:</w:t>
      </w:r>
    </w:p>
    <w:p>
      <w:pPr>
        <w:spacing w:after="60"/>
        <w:ind w:firstLine="567"/>
        <w:jc w:val="both"/>
      </w:pPr>
      <w:r>
        <w:rPr>
          <w:rFonts w:ascii="Arial" w:cs="Arial" w:eastAsia="Arial" w:hAnsi="Arial"/>
          <w:sz w:val="24"/>
          <w:szCs w:val="24"/>
        </w:rPr>
        <w:t xml:space="preserve">- Комитет по финансированию, принимающий решения по всем вопросам, касающиеся выдачи финансирования, гарантий, обязательств, поручительств, других активов и обязательств, по своей сути являющихся операциями финансирования и несущих в себе риск кредитной потери. Деятельность комитета по финансированию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pPr>
        <w:spacing w:after="60"/>
        <w:ind w:firstLine="567"/>
        <w:jc w:val="both"/>
      </w:pPr>
      <w:r>
        <w:rPr>
          <w:rFonts w:ascii="Arial" w:cs="Arial" w:eastAsia="Arial" w:hAnsi="Arial"/>
          <w:sz w:val="24"/>
          <w:szCs w:val="24"/>
        </w:rPr>
        <w:t xml:space="preserve">-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pPr>
        <w:spacing w:after="60"/>
        <w:ind w:firstLine="567"/>
        <w:jc w:val="both"/>
      </w:pPr>
      <w:r>
        <w:rPr>
          <w:rFonts w:ascii="Arial" w:cs="Arial" w:eastAsia="Arial" w:hAnsi="Arial"/>
          <w:sz w:val="24"/>
          <w:szCs w:val="24"/>
        </w:rPr>
        <w:t xml:space="preserve">Все комитеты в банке возглавляются председателями указанных комитетов.";</w:t>
      </w:r>
    </w:p>
    <w:p>
      <w:pPr>
        <w:spacing w:after="60"/>
        <w:ind w:firstLine="567"/>
        <w:jc w:val="both"/>
      </w:pPr>
      <w:r>
        <w:rPr>
          <w:rFonts w:ascii="Arial" w:cs="Arial" w:eastAsia="Arial" w:hAnsi="Arial"/>
          <w:sz w:val="24"/>
          <w:szCs w:val="24"/>
        </w:rPr>
        <w:t xml:space="preserve">- первое предложение пункта 19 изложить в следующей редакции:</w:t>
      </w:r>
    </w:p>
    <w:p>
      <w:pPr>
        <w:spacing w:after="60"/>
        <w:ind w:firstLine="567"/>
        <w:jc w:val="both"/>
      </w:pPr>
      <w:r>
        <w:rPr>
          <w:rFonts w:ascii="Arial" w:cs="Arial" w:eastAsia="Arial" w:hAnsi="Arial"/>
          <w:sz w:val="24"/>
          <w:szCs w:val="24"/>
        </w:rPr>
        <w:t xml:space="preserve">"Комитет по корпоративному управлению, основной задачей которого является защита интересов не только акционеров, но и заинтересованных сторон (сотрудники, клиенты, включая держателей инвестиционных счетов и иных вкладчиков, поставщики), осуществляет мониторинг и оценку внедрения и соблюдения политики управления банком, а также мониторинг реализации инвестиционной стратегии по управлению средствами держателей инвестиционных счетов.";</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Комитет по управлению рисками, обеспечивает контроль за деятельностью Правления банка в вопросах управления рисками, которые принимает на себя банк.</w:t>
      </w:r>
    </w:p>
    <w:p>
      <w:pPr>
        <w:spacing w:after="60"/>
        <w:ind w:firstLine="567"/>
        <w:jc w:val="both"/>
      </w:pPr>
      <w:r>
        <w:rPr>
          <w:rFonts w:ascii="Arial" w:cs="Arial" w:eastAsia="Arial" w:hAnsi="Arial"/>
          <w:sz w:val="24"/>
          <w:szCs w:val="24"/>
        </w:rPr>
        <w:t xml:space="preserve">Комитет по управлению активами и пассивами банка, осуществляет контроль за общей структурой баланса банка, мониторинг активов и пассивов, а также контроль за соблюдением политики по управлению активами и пассивами, установленной Советом директоров.";</w:t>
      </w:r>
    </w:p>
    <w:p>
      <w:pPr>
        <w:spacing w:after="60"/>
        <w:ind w:firstLine="567"/>
        <w:jc w:val="both"/>
      </w:pPr>
      <w:r>
        <w:rPr>
          <w:rFonts w:ascii="Arial" w:cs="Arial" w:eastAsia="Arial" w:hAnsi="Arial"/>
          <w:sz w:val="24"/>
          <w:szCs w:val="24"/>
        </w:rPr>
        <w:t xml:space="preserve">- </w:t>
      </w:r>
      <w:hyperlink w:history="1" r:id="rIdp6ngfbiyh6fbnqpqvqsy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23-1 следующего содержания:</w:t>
      </w:r>
    </w:p>
    <w:p>
      <w:pPr>
        <w:spacing w:after="60"/>
        <w:ind w:firstLine="567"/>
        <w:jc w:val="both"/>
      </w:pPr>
      <w:r>
        <w:rPr>
          <w:rFonts w:ascii="Arial" w:cs="Arial" w:eastAsia="Arial" w:hAnsi="Arial"/>
          <w:sz w:val="24"/>
          <w:szCs w:val="24"/>
        </w:rPr>
        <w:t xml:space="preserve">"23-1. Во внутренних документах банка, регламентирующих деятельность всех комитетов, созданных в банке, должны быть определены:</w:t>
      </w:r>
    </w:p>
    <w:p>
      <w:pPr>
        <w:spacing w:after="60"/>
        <w:ind w:firstLine="567"/>
        <w:jc w:val="both"/>
      </w:pPr>
      <w:r>
        <w:rPr>
          <w:rFonts w:ascii="Arial" w:cs="Arial" w:eastAsia="Arial" w:hAnsi="Arial"/>
          <w:sz w:val="24"/>
          <w:szCs w:val="24"/>
        </w:rPr>
        <w:t xml:space="preserve">- цель создания и деятельности комитета;</w:t>
      </w:r>
    </w:p>
    <w:p>
      <w:pPr>
        <w:spacing w:after="60"/>
        <w:ind w:firstLine="567"/>
        <w:jc w:val="both"/>
      </w:pPr>
      <w:r>
        <w:rPr>
          <w:rFonts w:ascii="Arial" w:cs="Arial" w:eastAsia="Arial" w:hAnsi="Arial"/>
          <w:sz w:val="24"/>
          <w:szCs w:val="24"/>
        </w:rPr>
        <w:t xml:space="preserve">- полномочия комитета;</w:t>
      </w:r>
    </w:p>
    <w:p>
      <w:pPr>
        <w:spacing w:after="60"/>
        <w:ind w:firstLine="567"/>
        <w:jc w:val="both"/>
      </w:pPr>
      <w:r>
        <w:rPr>
          <w:rFonts w:ascii="Arial" w:cs="Arial" w:eastAsia="Arial" w:hAnsi="Arial"/>
          <w:sz w:val="24"/>
          <w:szCs w:val="24"/>
        </w:rPr>
        <w:t xml:space="preserve">- порядок назначения Председателя комитета;</w:t>
      </w:r>
    </w:p>
    <w:p>
      <w:pPr>
        <w:spacing w:after="60"/>
        <w:ind w:firstLine="567"/>
        <w:jc w:val="both"/>
      </w:pPr>
      <w:r>
        <w:rPr>
          <w:rFonts w:ascii="Arial" w:cs="Arial" w:eastAsia="Arial" w:hAnsi="Arial"/>
          <w:sz w:val="24"/>
          <w:szCs w:val="24"/>
        </w:rPr>
        <w:t xml:space="preserve">- порядок проведения заседаний;</w:t>
      </w:r>
    </w:p>
    <w:p>
      <w:pPr>
        <w:spacing w:after="60"/>
        <w:ind w:firstLine="567"/>
        <w:jc w:val="both"/>
      </w:pPr>
      <w:r>
        <w:rPr>
          <w:rFonts w:ascii="Arial" w:cs="Arial" w:eastAsia="Arial" w:hAnsi="Arial"/>
          <w:sz w:val="24"/>
          <w:szCs w:val="24"/>
        </w:rPr>
        <w:t xml:space="preserve">- порядок отчетности;</w:t>
      </w:r>
    </w:p>
    <w:p>
      <w:pPr>
        <w:spacing w:after="60"/>
        <w:ind w:firstLine="567"/>
        <w:jc w:val="both"/>
      </w:pPr>
      <w:r>
        <w:rPr>
          <w:rFonts w:ascii="Arial" w:cs="Arial" w:eastAsia="Arial" w:hAnsi="Arial"/>
          <w:sz w:val="24"/>
          <w:szCs w:val="24"/>
        </w:rPr>
        <w:t xml:space="preserve">- ответственность каждого члена комитета за принятые и подписанные им решения.</w:t>
      </w:r>
    </w:p>
    <w:p>
      <w:pPr>
        <w:spacing w:after="60"/>
        <w:ind w:firstLine="567"/>
        <w:jc w:val="both"/>
      </w:pPr>
      <w:r>
        <w:rPr>
          <w:rFonts w:ascii="Arial" w:cs="Arial" w:eastAsia="Arial" w:hAnsi="Arial"/>
          <w:sz w:val="24"/>
          <w:szCs w:val="24"/>
        </w:rPr>
        <w:t xml:space="preserve">Также в этих документах к каждому члену комитета, участвующему в заседании и принимающему решения, должны быть установлены следующие требования:</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60"/>
        <w:ind w:firstLine="567"/>
        <w:jc w:val="both"/>
      </w:pPr>
      <w:r>
        <w:rPr>
          <w:rFonts w:ascii="Arial" w:cs="Arial" w:eastAsia="Arial" w:hAnsi="Arial"/>
          <w:sz w:val="24"/>
          <w:szCs w:val="24"/>
        </w:rPr>
        <w:t xml:space="preserve">Председатель и члены Совета директоров несут ответственность за бездействие по вопросам, ответственность за выполнение которых возложена на Совет директоров.";</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в первом предложении слово "оперативного" исключить;</w:t>
      </w:r>
    </w:p>
    <w:p>
      <w:pPr>
        <w:spacing w:after="60"/>
        <w:ind w:firstLine="567"/>
        <w:jc w:val="both"/>
      </w:pPr>
      <w:r>
        <w:rPr>
          <w:rFonts w:ascii="Arial" w:cs="Arial" w:eastAsia="Arial" w:hAnsi="Arial"/>
          <w:sz w:val="24"/>
          <w:szCs w:val="24"/>
        </w:rPr>
        <w:t xml:space="preserve">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"Мнение члена Совета директоров,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Совета директоров должны быть подписаны председательствующим и секретарем Совета, после согласования (визирования) с членами Совета директоров, присутствовавшими на заседании. Члены Совета директоров,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Члены Совета директоров должны соответствовать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w:t>
      </w:r>
    </w:p>
    <w:p>
      <w:pPr>
        <w:spacing w:after="60"/>
        <w:ind w:firstLine="56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 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 пункт 29 дополнить предложением следующего содержания:</w:t>
      </w:r>
    </w:p>
    <w:p>
      <w:pPr>
        <w:spacing w:after="60"/>
        <w:ind w:firstLine="567"/>
        <w:jc w:val="both"/>
      </w:pPr>
      <w:r>
        <w:rPr>
          <w:rFonts w:ascii="Arial" w:cs="Arial" w:eastAsia="Arial" w:hAnsi="Arial"/>
          <w:sz w:val="24"/>
          <w:szCs w:val="24"/>
        </w:rPr>
        <w:t xml:space="preserve">"Например, в случае, если банк предлагает различные виды ограниченных инвестиционных счетов.";</w:t>
      </w:r>
    </w:p>
    <w:p>
      <w:pPr>
        <w:spacing w:after="60"/>
        <w:ind w:firstLine="567"/>
        <w:jc w:val="both"/>
      </w:pPr>
      <w:r>
        <w:rPr>
          <w:rFonts w:ascii="Arial" w:cs="Arial" w:eastAsia="Arial" w:hAnsi="Arial"/>
          <w:sz w:val="24"/>
          <w:szCs w:val="24"/>
        </w:rPr>
        <w:t xml:space="preserve">- в пункте 39 слова "сделок (договоров)" заменить словами "политик и типовых договоров";</w:t>
      </w:r>
    </w:p>
    <w:p>
      <w:pPr>
        <w:spacing w:after="60"/>
        <w:ind w:firstLine="567"/>
        <w:jc w:val="both"/>
      </w:pPr>
      <w:r>
        <w:rPr>
          <w:rFonts w:ascii="Arial" w:cs="Arial" w:eastAsia="Arial" w:hAnsi="Arial"/>
          <w:sz w:val="24"/>
          <w:szCs w:val="24"/>
        </w:rPr>
        <w:t xml:space="preserve">- </w:t>
      </w:r>
      <w:hyperlink w:history="1" r:id="rIdu3nfhv0bnlzqfyfbzhn-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39-1 следующего содержания:</w:t>
      </w:r>
    </w:p>
    <w:p>
      <w:pPr>
        <w:spacing w:after="60"/>
        <w:ind w:firstLine="567"/>
        <w:jc w:val="both"/>
      </w:pPr>
      <w:r>
        <w:rPr>
          <w:rFonts w:ascii="Arial" w:cs="Arial" w:eastAsia="Arial" w:hAnsi="Arial"/>
          <w:sz w:val="24"/>
          <w:szCs w:val="24"/>
        </w:rPr>
        <w:t xml:space="preserve">"39-1. Нарушение членом Шариатского совета своих фидуциарных обязанностей может быть основанием для фидуциара (банка и их акционеров) для досрочного прекращения его полномочий и возможного предъявления Банком к нему претензий, исковых и других требований.";</w:t>
      </w:r>
    </w:p>
    <w:p>
      <w:pPr>
        <w:spacing w:after="60"/>
        <w:ind w:firstLine="567"/>
        <w:jc w:val="both"/>
      </w:pPr>
      <w:r>
        <w:rPr>
          <w:rFonts w:ascii="Arial" w:cs="Arial" w:eastAsia="Arial" w:hAnsi="Arial"/>
          <w:sz w:val="24"/>
          <w:szCs w:val="24"/>
        </w:rPr>
        <w:t xml:space="preserve">- в пункте 40 после слов "на соответствие требованиям" дополнить словом "стандартов";</w:t>
      </w:r>
    </w:p>
    <w:p>
      <w:pPr>
        <w:spacing w:after="60"/>
        <w:ind w:firstLine="567"/>
        <w:jc w:val="both"/>
      </w:pPr>
      <w:r>
        <w:rPr>
          <w:rFonts w:ascii="Arial" w:cs="Arial" w:eastAsia="Arial" w:hAnsi="Arial"/>
          <w:sz w:val="24"/>
          <w:szCs w:val="24"/>
        </w:rPr>
        <w:t xml:space="preserve">- первое предложение пункта 44 изложить в следующей редакции:</w:t>
      </w:r>
    </w:p>
    <w:p>
      <w:pPr>
        <w:spacing w:after="60"/>
        <w:ind w:firstLine="567"/>
        <w:jc w:val="both"/>
      </w:pPr>
      <w:r>
        <w:rPr>
          <w:rFonts w:ascii="Arial" w:cs="Arial" w:eastAsia="Arial" w:hAnsi="Arial"/>
          <w:sz w:val="24"/>
          <w:szCs w:val="24"/>
        </w:rPr>
        <w:t xml:space="preserve">"Члены Шариатского совета должны соответствовать требованиям, установленным Национальным банком.";</w:t>
      </w:r>
    </w:p>
    <w:p>
      <w:pPr>
        <w:spacing w:after="60"/>
        <w:ind w:firstLine="567"/>
        <w:jc w:val="both"/>
      </w:pPr>
      <w:r>
        <w:rPr>
          <w:rFonts w:ascii="Arial" w:cs="Arial" w:eastAsia="Arial" w:hAnsi="Arial"/>
          <w:sz w:val="24"/>
          <w:szCs w:val="24"/>
        </w:rPr>
        <w:t xml:space="preserve">- в пункте 45 после слов "независимыми от Правления" дополнить словами "и Совета директоров";</w:t>
      </w:r>
    </w:p>
    <w:p>
      <w:pPr>
        <w:spacing w:after="60"/>
        <w:ind w:firstLine="567"/>
        <w:jc w:val="both"/>
      </w:pPr>
      <w:r>
        <w:rPr>
          <w:rFonts w:ascii="Arial" w:cs="Arial" w:eastAsia="Arial" w:hAnsi="Arial"/>
          <w:sz w:val="24"/>
          <w:szCs w:val="24"/>
        </w:rPr>
        <w:t xml:space="preserve">- пункт 46 изложить в следующей редакции:</w:t>
      </w:r>
    </w:p>
    <w:p>
      <w:pPr>
        <w:spacing w:after="60"/>
        <w:ind w:firstLine="567"/>
        <w:jc w:val="both"/>
      </w:pPr>
      <w:r>
        <w:rPr>
          <w:rFonts w:ascii="Arial" w:cs="Arial" w:eastAsia="Arial" w:hAnsi="Arial"/>
          <w:sz w:val="24"/>
          <w:szCs w:val="24"/>
        </w:rPr>
        <w:t xml:space="preserve">"46. Деятельность Шариатского совета банка регулируется положением, которое утверждается общим собранием акционеров. Для банка, имеющего "исламское окно", где доля активов не превышает 50% от валюты баланса, деятельность Шариатского совета регулируется положением, которое утверждается Советом директоров банка. Деятельность отдела, ответственного за осуществление мониторинга соблюдения стандартов шариата, регулируется положением, которое утверждается Советом директоров банка и согласовывается Шариатским советом.";</w:t>
      </w:r>
    </w:p>
    <w:p>
      <w:pPr>
        <w:spacing w:after="60"/>
        <w:ind w:firstLine="567"/>
        <w:jc w:val="both"/>
      </w:pPr>
      <w:r>
        <w:rPr>
          <w:rFonts w:ascii="Arial" w:cs="Arial" w:eastAsia="Arial" w:hAnsi="Arial"/>
          <w:sz w:val="24"/>
          <w:szCs w:val="24"/>
        </w:rPr>
        <w:t xml:space="preserve">- абзац 4 пункта 47 изложить в следующей редакции:</w:t>
      </w:r>
    </w:p>
    <w:p>
      <w:pPr>
        <w:spacing w:after="60"/>
        <w:ind w:firstLine="567"/>
        <w:jc w:val="both"/>
      </w:pPr>
      <w:r>
        <w:rPr>
          <w:rFonts w:ascii="Arial" w:cs="Arial" w:eastAsia="Arial" w:hAnsi="Arial"/>
          <w:sz w:val="24"/>
          <w:szCs w:val="24"/>
        </w:rPr>
        <w:t xml:space="preserve">"3) порядок взаимодействия с Советом директоров, Правлением и комитетами банка.";</w:t>
      </w:r>
    </w:p>
    <w:p>
      <w:pPr>
        <w:spacing w:after="60"/>
        <w:ind w:firstLine="567"/>
        <w:jc w:val="both"/>
      </w:pPr>
      <w:r>
        <w:rPr>
          <w:rFonts w:ascii="Arial" w:cs="Arial" w:eastAsia="Arial" w:hAnsi="Arial"/>
          <w:sz w:val="24"/>
          <w:szCs w:val="24"/>
        </w:rPr>
        <w:t xml:space="preserve">- пункт 48 изложить в следующей редакции:</w:t>
      </w:r>
    </w:p>
    <w:p>
      <w:pPr>
        <w:spacing w:after="60"/>
        <w:ind w:firstLine="567"/>
        <w:jc w:val="both"/>
      </w:pPr>
      <w:r>
        <w:rPr>
          <w:rFonts w:ascii="Arial" w:cs="Arial" w:eastAsia="Arial" w:hAnsi="Arial"/>
          <w:sz w:val="24"/>
          <w:szCs w:val="24"/>
        </w:rPr>
        <w:t xml:space="preserve">"48. Правление осуществляет руководство текущей деятельностью банка на основании законодательства Кыргызской Республики, внутреннего положения о Правлении и подотчетно Совету директоров.";</w:t>
      </w:r>
    </w:p>
    <w:p>
      <w:pPr>
        <w:spacing w:after="60"/>
        <w:ind w:firstLine="567"/>
        <w:jc w:val="both"/>
      </w:pPr>
      <w:r>
        <w:rPr>
          <w:rFonts w:ascii="Arial" w:cs="Arial" w:eastAsia="Arial" w:hAnsi="Arial"/>
          <w:sz w:val="24"/>
          <w:szCs w:val="24"/>
        </w:rPr>
        <w:t xml:space="preserve">- пункт 49 изложить в следующей редакции:</w:t>
      </w:r>
    </w:p>
    <w:p>
      <w:pPr>
        <w:spacing w:after="60"/>
        <w:ind w:firstLine="567"/>
        <w:jc w:val="both"/>
      </w:pPr>
      <w:r>
        <w:rPr>
          <w:rFonts w:ascii="Arial" w:cs="Arial" w:eastAsia="Arial" w:hAnsi="Arial"/>
          <w:sz w:val="24"/>
          <w:szCs w:val="24"/>
        </w:rPr>
        <w:t xml:space="preserve">"49. Вопросы, отнесенные к компетенции и ответственности Правления, определены Законом и включают реализацию стратегий и политик, определенных Советом директоров.";</w:t>
      </w:r>
    </w:p>
    <w:p>
      <w:pPr>
        <w:spacing w:after="60"/>
        <w:ind w:firstLine="567"/>
        <w:jc w:val="both"/>
      </w:pPr>
      <w:r>
        <w:rPr>
          <w:rFonts w:ascii="Arial" w:cs="Arial" w:eastAsia="Arial" w:hAnsi="Arial"/>
          <w:sz w:val="24"/>
          <w:szCs w:val="24"/>
        </w:rPr>
        <w:t xml:space="preserve">- пункт 52 изложить в следующей редакции:</w:t>
      </w:r>
    </w:p>
    <w:p>
      <w:pPr>
        <w:spacing w:after="60"/>
        <w:ind w:firstLine="567"/>
        <w:jc w:val="both"/>
      </w:pPr>
      <w:r>
        <w:rPr>
          <w:rFonts w:ascii="Arial" w:cs="Arial" w:eastAsia="Arial" w:hAnsi="Arial"/>
          <w:sz w:val="24"/>
          <w:szCs w:val="24"/>
        </w:rPr>
        <w:t xml:space="preserve">"52. Члены Правления должны соответствовать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 пункт 53 изложить в следующей редакции:</w:t>
      </w:r>
    </w:p>
    <w:p>
      <w:pPr>
        <w:spacing w:after="60"/>
        <w:ind w:firstLine="567"/>
        <w:jc w:val="both"/>
      </w:pPr>
      <w:r>
        <w:rPr>
          <w:rFonts w:ascii="Arial" w:cs="Arial" w:eastAsia="Arial" w:hAnsi="Arial"/>
          <w:sz w:val="24"/>
          <w:szCs w:val="24"/>
        </w:rPr>
        <w:t xml:space="preserve">"53. При осуществлении своей 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и должностных лиц банка, прилагая все усилия для обеспечения здоровой и безопасной банковской практики, соответствующей стандартам шариата.</w:t>
      </w:r>
    </w:p>
    <w:p>
      <w:pPr>
        <w:spacing w:after="60"/>
        <w:ind w:firstLine="567"/>
        <w:jc w:val="both"/>
      </w:pPr>
      <w:r>
        <w:rPr>
          <w:rFonts w:ascii="Arial" w:cs="Arial" w:eastAsia="Arial" w:hAnsi="Arial"/>
          <w:sz w:val="24"/>
          <w:szCs w:val="24"/>
        </w:rPr>
        <w:t xml:space="preserve">Мнение члена Правления,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Правления должны быть подписаны председательствующим и секретарем Правления банка, после согласования (визирования) с членами Правления банка, присутствовавшими на заседании. Члены Правления,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абзац второй пункта 54 изложить в следующей редакции:</w:t>
      </w:r>
    </w:p>
    <w:p>
      <w:pPr>
        <w:spacing w:after="60"/>
        <w:ind w:firstLine="567"/>
        <w:jc w:val="both"/>
      </w:pPr>
      <w:r>
        <w:rPr>
          <w:rFonts w:ascii="Arial" w:cs="Arial" w:eastAsia="Arial" w:hAnsi="Arial"/>
          <w:sz w:val="24"/>
          <w:szCs w:val="24"/>
        </w:rPr>
        <w:t xml:space="preserve">"1) в принятии решений участвуют члены Правления, не имеющие соответствующих полномочий согласно функциональному распределению обязанностей, за исключением случаев, когда решение принимается коллегиально;";</w:t>
      </w:r>
    </w:p>
    <w:p>
      <w:pPr>
        <w:spacing w:after="60"/>
        <w:ind w:firstLine="567"/>
        <w:jc w:val="both"/>
      </w:pPr>
      <w:r>
        <w:rPr>
          <w:rFonts w:ascii="Arial" w:cs="Arial" w:eastAsia="Arial" w:hAnsi="Arial"/>
          <w:sz w:val="24"/>
          <w:szCs w:val="24"/>
        </w:rPr>
        <w:t xml:space="preserve">- пункт 57 изложить в следующей редакции:</w:t>
      </w:r>
    </w:p>
    <w:p>
      <w:pPr>
        <w:spacing w:after="60"/>
        <w:ind w:firstLine="567"/>
        <w:jc w:val="both"/>
      </w:pPr>
      <w:r>
        <w:rPr>
          <w:rFonts w:ascii="Arial" w:cs="Arial" w:eastAsia="Arial" w:hAnsi="Arial"/>
          <w:sz w:val="24"/>
          <w:szCs w:val="24"/>
        </w:rPr>
        <w:t xml:space="preserve">"57. В банке должны быть разработаны механизмы, обеспечивающие соблюдение законодательства, включая нормативных правовых актов Национального банка по предотвращению конфликтов интересов и регламентации операций с аффилированными лицами банка и связанными с банком лицами, с членами Правления, Совета директоров, с другими должностными лицами, значительными участниками, а также с любыми другими физическими лицами, связанными с указанными лицами общими интересами.</w:t>
      </w:r>
    </w:p>
    <w:p>
      <w:pPr>
        <w:spacing w:after="60"/>
        <w:ind w:firstLine="567"/>
        <w:jc w:val="both"/>
      </w:pPr>
      <w:r>
        <w:rPr>
          <w:rFonts w:ascii="Arial" w:cs="Arial" w:eastAsia="Arial" w:hAnsi="Arial"/>
          <w:sz w:val="24"/>
          <w:szCs w:val="24"/>
        </w:rPr>
        <w:t xml:space="preserve">В целях идентификации и недопущению конфликта интересов, банку необходимо как минимум следующее:</w:t>
      </w:r>
    </w:p>
    <w:p>
      <w:pPr>
        <w:spacing w:after="60"/>
        <w:ind w:firstLine="567"/>
        <w:jc w:val="both"/>
      </w:pPr>
      <w:r>
        <w:rPr>
          <w:rFonts w:ascii="Arial" w:cs="Arial" w:eastAsia="Arial" w:hAnsi="Arial"/>
          <w:sz w:val="24"/>
          <w:szCs w:val="24"/>
        </w:rPr>
        <w:t xml:space="preserve">- разработать процедуры информирования Совета директоров и Правления банка о потенциальных угрозах в деятельности банка, связанных с конфликтом интересов;</w:t>
      </w:r>
    </w:p>
    <w:p>
      <w:pPr>
        <w:spacing w:after="60"/>
        <w:ind w:firstLine="567"/>
        <w:jc w:val="both"/>
      </w:pPr>
      <w:r>
        <w:rPr>
          <w:rFonts w:ascii="Arial" w:cs="Arial" w:eastAsia="Arial" w:hAnsi="Arial"/>
          <w:sz w:val="24"/>
          <w:szCs w:val="24"/>
        </w:rPr>
        <w:t xml:space="preserve">- должностное лицо банка и работники банка до назначения (избрания) на должность, обязаны предоставлять банку список близких родственников;</w:t>
      </w:r>
    </w:p>
    <w:p>
      <w:pPr>
        <w:spacing w:after="60"/>
        <w:ind w:firstLine="567"/>
        <w:jc w:val="both"/>
      </w:pPr>
      <w:r>
        <w:rPr>
          <w:rFonts w:ascii="Arial" w:cs="Arial" w:eastAsia="Arial" w:hAnsi="Arial"/>
          <w:sz w:val="24"/>
          <w:szCs w:val="24"/>
        </w:rPr>
        <w:t xml:space="preserve">- в случае возникновения конфликта интересов должностное лицо или работник банка, обязан немедленно уведомить об этом Правление и/или Совет директоров банка;</w:t>
      </w:r>
    </w:p>
    <w:p>
      <w:pPr>
        <w:spacing w:after="60"/>
        <w:ind w:firstLine="567"/>
        <w:jc w:val="both"/>
      </w:pPr>
      <w:r>
        <w:rPr>
          <w:rFonts w:ascii="Arial" w:cs="Arial" w:eastAsia="Arial" w:hAnsi="Arial"/>
          <w:sz w:val="24"/>
          <w:szCs w:val="24"/>
        </w:rPr>
        <w:t xml:space="preserve">- банк должен вести базу данных об имевших место конфликтах интересов;</w:t>
      </w:r>
    </w:p>
    <w:p>
      <w:pPr>
        <w:spacing w:after="60"/>
        <w:ind w:firstLine="567"/>
        <w:jc w:val="both"/>
      </w:pPr>
      <w:r>
        <w:rPr>
          <w:rFonts w:ascii="Arial" w:cs="Arial" w:eastAsia="Arial" w:hAnsi="Arial"/>
          <w:sz w:val="24"/>
          <w:szCs w:val="24"/>
        </w:rPr>
        <w:t xml:space="preserve">-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пункт 60 изложить в следующей редакции:</w:t>
      </w:r>
    </w:p>
    <w:p>
      <w:pPr>
        <w:spacing w:after="60"/>
        <w:ind w:firstLine="567"/>
        <w:jc w:val="both"/>
      </w:pPr>
      <w:r>
        <w:rPr>
          <w:rFonts w:ascii="Arial" w:cs="Arial" w:eastAsia="Arial" w:hAnsi="Arial"/>
          <w:sz w:val="24"/>
          <w:szCs w:val="24"/>
        </w:rPr>
        <w:t xml:space="preserve">"60. В дополнение к требованиям, установленным законодательством Кыргызской Республики по раскрытию информации о деятельности банка, а также пунктами 5, 30, 31, 36, 38, 43 настоящего </w:t>
      </w:r>
      <w:hyperlink w:history="1" r:id="rIdlhcayjxkxezqxwjtzwk5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эффективное корпоративное управление предполагает раскрытие информации, которая в числе прочего включает:</w:t>
      </w:r>
    </w:p>
    <w:p>
      <w:pPr>
        <w:spacing w:after="60"/>
        <w:ind w:firstLine="567"/>
        <w:jc w:val="both"/>
      </w:pPr>
      <w:r>
        <w:rPr>
          <w:rFonts w:ascii="Arial" w:cs="Arial" w:eastAsia="Arial" w:hAnsi="Arial"/>
          <w:sz w:val="24"/>
          <w:szCs w:val="24"/>
        </w:rPr>
        <w:t xml:space="preserve">1) структуру органов управления банка (состав, квалификация и опыт, полномочия, обязанности, курируемые области, регламент работы и членство в комитетах, в том числе информацию о количестве проводимых заседаний комитетов и др.);</w:t>
      </w:r>
    </w:p>
    <w:p>
      <w:pPr>
        <w:spacing w:after="60"/>
        <w:ind w:firstLine="567"/>
        <w:jc w:val="both"/>
      </w:pPr>
      <w:r>
        <w:rPr>
          <w:rFonts w:ascii="Arial" w:cs="Arial" w:eastAsia="Arial" w:hAnsi="Arial"/>
          <w:sz w:val="24"/>
          <w:szCs w:val="24"/>
        </w:rPr>
        <w:t xml:space="preserve">2) структуру собственников банка (значительные акционеры банка, доля иностранных инвесторов в акционерном капитале банка, право голоса и др.);</w:t>
      </w:r>
    </w:p>
    <w:p>
      <w:pPr>
        <w:spacing w:after="60"/>
        <w:ind w:firstLine="567"/>
        <w:jc w:val="both"/>
      </w:pPr>
      <w:r>
        <w:rPr>
          <w:rFonts w:ascii="Arial" w:cs="Arial" w:eastAsia="Arial" w:hAnsi="Arial"/>
          <w:sz w:val="24"/>
          <w:szCs w:val="24"/>
        </w:rPr>
        <w:t xml:space="preserve">3) организационную структуру банка и, при наличии, структуру банковской группы;</w:t>
      </w:r>
    </w:p>
    <w:p>
      <w:pPr>
        <w:spacing w:after="60"/>
        <w:ind w:firstLine="567"/>
        <w:jc w:val="both"/>
      </w:pPr>
      <w:r>
        <w:rPr>
          <w:rFonts w:ascii="Arial" w:cs="Arial" w:eastAsia="Arial" w:hAnsi="Arial"/>
          <w:sz w:val="24"/>
          <w:szCs w:val="24"/>
        </w:rPr>
        <w:t xml:space="preserve">4) виды, условия и объемы операций с аффилированными лицами и инсайдерами банка;</w:t>
      </w:r>
    </w:p>
    <w:p>
      <w:pPr>
        <w:spacing w:after="60"/>
        <w:ind w:firstLine="567"/>
        <w:jc w:val="both"/>
      </w:pPr>
      <w:r>
        <w:rPr>
          <w:rFonts w:ascii="Arial" w:cs="Arial" w:eastAsia="Arial" w:hAnsi="Arial"/>
          <w:sz w:val="24"/>
          <w:szCs w:val="24"/>
        </w:rPr>
        <w:t xml:space="preserve">5) стандарты профессиональной этики;</w:t>
      </w:r>
    </w:p>
    <w:p>
      <w:pPr>
        <w:spacing w:after="60"/>
        <w:ind w:firstLine="567"/>
        <w:jc w:val="both"/>
      </w:pPr>
      <w:r>
        <w:rPr>
          <w:rFonts w:ascii="Arial" w:cs="Arial" w:eastAsia="Arial" w:hAnsi="Arial"/>
          <w:sz w:val="24"/>
          <w:szCs w:val="24"/>
        </w:rPr>
        <w:t xml:space="preserve">6) сведения по вопросам конфликта интересов, вознаграждения и управления рисками.";</w:t>
      </w:r>
    </w:p>
    <w:p>
      <w:pPr>
        <w:spacing w:after="60"/>
        <w:ind w:firstLine="567"/>
        <w:jc w:val="both"/>
      </w:pPr>
      <w:r>
        <w:rPr>
          <w:rFonts w:ascii="Arial" w:cs="Arial" w:eastAsia="Arial" w:hAnsi="Arial"/>
          <w:sz w:val="24"/>
          <w:szCs w:val="24"/>
        </w:rPr>
        <w:t xml:space="preserve">- примечания к </w:t>
      </w:r>
      <w:hyperlink w:history="1" r:id="rIdsqkjqi5s2zunp1hvnrhy6">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w:t>
      </w:r>
      <w:hyperlink w:history="1" r:id="rId51jgt1okcmssh9sxc6kn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главами 9, 10 и 11 следующего содержания:</w:t>
      </w:r>
    </w:p>
    <w:p>
      <w:pPr>
        <w:spacing w:after="120"/>
        <w:jc w:val="center"/>
      </w:pPr>
      <w:r>
        <w:rPr>
          <w:rFonts w:ascii="Arial" w:cs="Arial" w:eastAsia="Arial" w:hAnsi="Arial"/>
          <w:sz w:val="24"/>
          <w:szCs w:val="24"/>
        </w:rPr>
        <w:t xml:space="preserve">"9. Корпоративный секретарь банка</w:t>
      </w:r>
    </w:p>
    <w:p>
      <w:pPr>
        <w:spacing w:after="60"/>
        <w:ind w:firstLine="567"/>
        <w:jc w:val="both"/>
      </w:pPr>
      <w:r>
        <w:rPr>
          <w:rFonts w:ascii="Arial" w:cs="Arial" w:eastAsia="Arial" w:hAnsi="Arial"/>
          <w:sz w:val="24"/>
          <w:szCs w:val="24"/>
        </w:rPr>
        <w:t xml:space="preserve">62. Корпоративный секретарь банка обеспечивает и организовывает работу (заседаний и делопроизводство) общего собрания акционеров и Совета директоров банка.</w:t>
      </w:r>
    </w:p>
    <w:p>
      <w:pPr>
        <w:spacing w:after="60"/>
        <w:ind w:firstLine="567"/>
        <w:jc w:val="both"/>
      </w:pPr>
      <w:r>
        <w:rPr>
          <w:rFonts w:ascii="Arial" w:cs="Arial" w:eastAsia="Arial" w:hAnsi="Arial"/>
          <w:sz w:val="24"/>
          <w:szCs w:val="24"/>
        </w:rPr>
        <w:t xml:space="preserve">63. Корпоративный секретарь является должностным лицом банка, назначается и освобождается от должности решением Советом директоров банка.</w:t>
      </w:r>
    </w:p>
    <w:p>
      <w:pPr>
        <w:spacing w:after="60"/>
        <w:ind w:firstLine="567"/>
        <w:jc w:val="both"/>
      </w:pPr>
      <w:r>
        <w:rPr>
          <w:rFonts w:ascii="Arial" w:cs="Arial" w:eastAsia="Arial" w:hAnsi="Arial"/>
          <w:sz w:val="24"/>
          <w:szCs w:val="24"/>
        </w:rPr>
        <w:t xml:space="preserve">64. Корпоративный секретарь осуществляет свою деятельность в соответствии с Законом, нормативными правовыми актами Национального банка, уставом банка и внутренними нормативными актами банка, а также решениями общего собрания акционеров и Совета директоров банка.</w:t>
      </w:r>
    </w:p>
    <w:p>
      <w:pPr>
        <w:spacing w:after="60"/>
        <w:ind w:firstLine="567"/>
        <w:jc w:val="both"/>
      </w:pPr>
      <w:r>
        <w:rPr>
          <w:rFonts w:ascii="Arial" w:cs="Arial" w:eastAsia="Arial" w:hAnsi="Arial"/>
          <w:sz w:val="24"/>
          <w:szCs w:val="24"/>
        </w:rPr>
        <w:t xml:space="preserve">65.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60"/>
        <w:ind w:firstLine="567"/>
        <w:jc w:val="both"/>
      </w:pPr>
      <w:r>
        <w:rPr>
          <w:rFonts w:ascii="Arial" w:cs="Arial" w:eastAsia="Arial" w:hAnsi="Arial"/>
          <w:sz w:val="24"/>
          <w:szCs w:val="24"/>
        </w:rPr>
        <w:t xml:space="preserve">66.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w:t>
      </w:r>
    </w:p>
    <w:p>
      <w:pPr>
        <w:spacing w:after="60"/>
        <w:ind w:firstLine="567"/>
        <w:jc w:val="both"/>
      </w:pPr>
      <w:r>
        <w:rPr>
          <w:rFonts w:ascii="Arial" w:cs="Arial" w:eastAsia="Arial" w:hAnsi="Arial"/>
          <w:sz w:val="24"/>
          <w:szCs w:val="24"/>
        </w:rPr>
        <w:t xml:space="preserve">67. Корпоративный секретарь банка обязан действовать добросовестно и разумно в наилучших интересах банка, что предполагает соблюдение ими следующих фидуциарных обязанностей:</w:t>
      </w:r>
    </w:p>
    <w:p>
      <w:pPr>
        <w:spacing w:after="60"/>
        <w:ind w:firstLine="567"/>
        <w:jc w:val="both"/>
      </w:pPr>
      <w:r>
        <w:rPr>
          <w:rFonts w:ascii="Arial" w:cs="Arial" w:eastAsia="Arial" w:hAnsi="Arial"/>
          <w:sz w:val="24"/>
          <w:szCs w:val="24"/>
        </w:rPr>
        <w:t xml:space="preserve">1) выполнять свои полномочия с соблюдением требований банковского законодательства Кыргызской Республики, устава банка и внутренних нормативных актов банка;</w:t>
      </w:r>
    </w:p>
    <w:p>
      <w:pPr>
        <w:spacing w:after="60"/>
        <w:ind w:firstLine="567"/>
        <w:jc w:val="both"/>
      </w:pPr>
      <w:r>
        <w:rPr>
          <w:rFonts w:ascii="Arial" w:cs="Arial" w:eastAsia="Arial" w:hAnsi="Arial"/>
          <w:sz w:val="24"/>
          <w:szCs w:val="24"/>
        </w:rPr>
        <w:t xml:space="preserve">2) использовать предоставленные ему полномочия;</w:t>
      </w:r>
    </w:p>
    <w:p>
      <w:pPr>
        <w:spacing w:after="60"/>
        <w:ind w:firstLine="567"/>
        <w:jc w:val="both"/>
      </w:pPr>
      <w:r>
        <w:rPr>
          <w:rFonts w:ascii="Arial" w:cs="Arial" w:eastAsia="Arial" w:hAnsi="Arial"/>
          <w:sz w:val="24"/>
          <w:szCs w:val="24"/>
        </w:rPr>
        <w:t xml:space="preserve">3) соблюдать принцип равенства в отношении к акционерам и к членам совета директоров;</w:t>
      </w:r>
    </w:p>
    <w:p>
      <w:pPr>
        <w:spacing w:after="60"/>
        <w:ind w:firstLine="567"/>
        <w:jc w:val="both"/>
      </w:pPr>
      <w:r>
        <w:rPr>
          <w:rFonts w:ascii="Arial" w:cs="Arial" w:eastAsia="Arial" w:hAnsi="Arial"/>
          <w:sz w:val="24"/>
          <w:szCs w:val="24"/>
        </w:rPr>
        <w:t xml:space="preserve">4) соответствовать требованиям безупречной деловой репутации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68. Корпоративный секретарь в обязательном порядке должен вести стенографический протокол (подробный письменный текст выступлений участников)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w:t>
      </w:r>
    </w:p>
    <w:p>
      <w:pPr>
        <w:spacing w:after="60"/>
        <w:ind w:firstLine="567"/>
        <w:jc w:val="both"/>
      </w:pPr>
      <w:r>
        <w:rPr>
          <w:rFonts w:ascii="Arial" w:cs="Arial" w:eastAsia="Arial" w:hAnsi="Arial"/>
          <w:sz w:val="24"/>
          <w:szCs w:val="24"/>
        </w:rPr>
        <w:t xml:space="preserve">Корпоративный секретарь в обязательном порядке должен ознакомить с подписанным протоколом всех членов Совета директоров, в том числе путем использования средств коммуникаций.</w:t>
      </w:r>
    </w:p>
    <w:p>
      <w:pPr>
        <w:spacing w:after="120" w:before="120"/>
        <w:jc w:val="center"/>
      </w:pPr>
      <w:r>
        <w:rPr>
          <w:rFonts w:ascii="Arial" w:cs="Arial" w:eastAsia="Arial" w:hAnsi="Arial"/>
          <w:sz w:val="24"/>
          <w:szCs w:val="24"/>
        </w:rPr>
        <w:t xml:space="preserve">10. Основные требования к комитету по назначениям и вознаграждениям</w:t>
      </w:r>
    </w:p>
    <w:p>
      <w:pPr>
        <w:spacing w:after="60"/>
        <w:ind w:firstLine="567"/>
        <w:jc w:val="both"/>
      </w:pPr>
      <w:r>
        <w:rPr>
          <w:rFonts w:ascii="Arial" w:cs="Arial" w:eastAsia="Arial" w:hAnsi="Arial"/>
          <w:sz w:val="24"/>
          <w:szCs w:val="24"/>
        </w:rPr>
        <w:t xml:space="preserve">69.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w:t>
      </w:r>
    </w:p>
    <w:p>
      <w:pPr>
        <w:spacing w:after="60"/>
        <w:ind w:firstLine="567"/>
        <w:jc w:val="both"/>
      </w:pPr>
      <w:r>
        <w:rPr>
          <w:rFonts w:ascii="Arial" w:cs="Arial" w:eastAsia="Arial" w:hAnsi="Arial"/>
          <w:sz w:val="24"/>
          <w:szCs w:val="24"/>
        </w:rPr>
        <w:t xml:space="preserve">Деятельность Комитета должна быть направлена на усиление контроля за назначениями и вознаграждениями членов Правления, руководителей и работников служб внутреннего аудита, риск-менеджмента и комплаенс-контроля, а также ключевых работников, определяемых банком.</w:t>
      </w:r>
    </w:p>
    <w:p>
      <w:pPr>
        <w:spacing w:after="60"/>
        <w:ind w:firstLine="567"/>
        <w:jc w:val="both"/>
      </w:pPr>
      <w:r>
        <w:rPr>
          <w:rFonts w:ascii="Arial" w:cs="Arial" w:eastAsia="Arial" w:hAnsi="Arial"/>
          <w:sz w:val="24"/>
          <w:szCs w:val="24"/>
        </w:rPr>
        <w:t xml:space="preserve">70. Комитет по назначениям и вознаграждениям определяет уровень выплачиваемого банком вознаграждения, который должен быть достаточным для привлечения, мотивации и удержания лиц, обладающих необходимой для банка компетенцией и квалификацией, при этом уровень выплачиваемого банком вознаграждения не должен привести к убыточной деятельности.</w:t>
      </w:r>
    </w:p>
    <w:p>
      <w:pPr>
        <w:spacing w:after="60"/>
        <w:ind w:firstLine="567"/>
        <w:jc w:val="both"/>
      </w:pPr>
      <w:r>
        <w:rPr>
          <w:rFonts w:ascii="Arial" w:cs="Arial" w:eastAsia="Arial" w:hAnsi="Arial"/>
          <w:sz w:val="24"/>
          <w:szCs w:val="24"/>
        </w:rPr>
        <w:t xml:space="preserve">71. Деятельность Комитета регулируется требованиями законодательства Кыргызской Республики и внутренним положением о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72. Комитет должен состоять не менее чем из трех членов Совета директоров, назначаемых собранием акционеров банка, один из которых должны быть независимыми.</w:t>
      </w:r>
    </w:p>
    <w:p>
      <w:pPr>
        <w:spacing w:after="60"/>
        <w:ind w:firstLine="567"/>
        <w:jc w:val="both"/>
      </w:pPr>
      <w:r>
        <w:rPr>
          <w:rFonts w:ascii="Arial" w:cs="Arial" w:eastAsia="Arial" w:hAnsi="Arial"/>
          <w:sz w:val="24"/>
          <w:szCs w:val="24"/>
        </w:rPr>
        <w:t xml:space="preserve">73. Комитет дает рекомендации Совету директоров по кандидатурам для включения в состав Правления, руководителей и работников служб внутреннего аудита, риск-менеджмента и комплаенс-контроля, а также ключевых работников, определяемых банком с учетом требований, установленных Национальным банком.</w:t>
      </w:r>
    </w:p>
    <w:p>
      <w:pPr>
        <w:spacing w:after="60"/>
        <w:ind w:firstLine="567"/>
        <w:jc w:val="both"/>
      </w:pPr>
      <w:r>
        <w:rPr>
          <w:rFonts w:ascii="Arial" w:cs="Arial" w:eastAsia="Arial" w:hAnsi="Arial"/>
          <w:sz w:val="24"/>
          <w:szCs w:val="24"/>
        </w:rPr>
        <w:t xml:space="preserve">74. Комитет рассматривает кандидатуры на должность Корпоративного секретаря, оценивает соответствие кандидатур установленным требованиям и представляет свои рекомендации Совету директоров.</w:t>
      </w:r>
    </w:p>
    <w:p>
      <w:pPr>
        <w:spacing w:after="60"/>
        <w:ind w:firstLine="567"/>
        <w:jc w:val="both"/>
      </w:pPr>
      <w:r>
        <w:rPr>
          <w:rFonts w:ascii="Arial" w:cs="Arial" w:eastAsia="Arial" w:hAnsi="Arial"/>
          <w:sz w:val="24"/>
          <w:szCs w:val="24"/>
        </w:rPr>
        <w:t xml:space="preserve">75. Выплата вознаграждения членам Совета директоров, Правлению, руководителям служб внутреннего аудита, риск-менеджмента, комплаенс-контроля, а также ключевым работникам определяемых банком, должна осуществляться в соответствии с принятой в банке внутренним нормативным актом по вознаграждению.</w:t>
      </w:r>
    </w:p>
    <w:p>
      <w:pPr>
        <w:spacing w:after="60"/>
        <w:ind w:firstLine="567"/>
        <w:jc w:val="both"/>
      </w:pPr>
      <w:r>
        <w:rPr>
          <w:rFonts w:ascii="Arial" w:cs="Arial" w:eastAsia="Arial" w:hAnsi="Arial"/>
          <w:sz w:val="24"/>
          <w:szCs w:val="24"/>
        </w:rPr>
        <w:t xml:space="preserve">Внутренний нормативный акт по вознаграждению должен разрабатываться Комитетом по вознаграждениям и утверждаться Советом директоров банка.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 а при необходимости пересматривать и вносить коррективы.</w:t>
      </w:r>
    </w:p>
    <w:p>
      <w:pPr>
        <w:spacing w:after="60"/>
        <w:ind w:firstLine="567"/>
        <w:jc w:val="both"/>
      </w:pPr>
      <w:r>
        <w:rPr>
          <w:rFonts w:ascii="Arial" w:cs="Arial" w:eastAsia="Arial" w:hAnsi="Arial"/>
          <w:sz w:val="24"/>
          <w:szCs w:val="24"/>
        </w:rPr>
        <w:t xml:space="preserve">76. Уровень вознаграждения, предоставляемого банком членам Совета директоров, Правлению, руководителям служб внутреннего аудита, риск-менеджмента, комплаенс-контроля и ключевым работникам определяемых банком,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pPr>
        <w:spacing w:after="60"/>
        <w:ind w:firstLine="567"/>
        <w:jc w:val="both"/>
      </w:pPr>
      <w:r>
        <w:rPr>
          <w:rFonts w:ascii="Arial" w:cs="Arial" w:eastAsia="Arial" w:hAnsi="Arial"/>
          <w:sz w:val="24"/>
          <w:szCs w:val="24"/>
        </w:rPr>
        <w:t xml:space="preserve">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pPr>
        <w:spacing w:after="60"/>
        <w:ind w:firstLine="567"/>
        <w:jc w:val="both"/>
      </w:pPr>
      <w:r>
        <w:rPr>
          <w:rFonts w:ascii="Arial" w:cs="Arial" w:eastAsia="Arial" w:hAnsi="Arial"/>
          <w:sz w:val="24"/>
          <w:szCs w:val="24"/>
        </w:rPr>
        <w:t xml:space="preserve">77. Система оплаты труда должна соответствовать бизнес-стратегии, стратегии управления рисками, целям, ценностям и долгосрочным интересам банка, а также должна предусматривать меры по предотвращению конфликта интересов. Стимулирующие программы должны способствовать реализации принятой культуры управления рисками, в рамках которой практика принятия решений соответствует установленным критериям и поощряет работников действовать в интересах банка (учитывая при этом интересы клиентов), а не только в своих личных интересах или в интересах своего подразделения. В частности, премии (бонусы), предусмотренные стимулирующей программой, не должны способствовать принятию работниками чрезмерных рисков.</w:t>
      </w:r>
    </w:p>
    <w:p>
      <w:pPr>
        <w:spacing w:after="60"/>
        <w:ind w:firstLine="567"/>
        <w:jc w:val="both"/>
      </w:pPr>
      <w:r>
        <w:rPr>
          <w:rFonts w:ascii="Arial" w:cs="Arial" w:eastAsia="Arial" w:hAnsi="Arial"/>
          <w:sz w:val="24"/>
          <w:szCs w:val="24"/>
        </w:rPr>
        <w:t xml:space="preserve">78. Размер вознаграждения должен напрямую зависеть от соотношения риска к результату. Способы выплаты вознаграждений в счет будущих доходов, срок и вероятность получения которых являются неопределенными, должен тщательно взвешиваются на основании принятых качественных и количественных показателей. Система вознаграждений должна предусматривать возможность изменения размеров выплачиваемых премий (бонусов) с учетом всех рисков, включая нарушения лимитов риск-аппетита, внутренних процедур или регуляторных требований.</w:t>
      </w:r>
    </w:p>
    <w:p>
      <w:pPr>
        <w:spacing w:after="60"/>
        <w:ind w:firstLine="567"/>
        <w:jc w:val="both"/>
      </w:pPr>
      <w:r>
        <w:rPr>
          <w:rFonts w:ascii="Arial" w:cs="Arial" w:eastAsia="Arial" w:hAnsi="Arial"/>
          <w:sz w:val="24"/>
          <w:szCs w:val="24"/>
        </w:rPr>
        <w:t xml:space="preserve">79. Внутренний нормативный акт о вознаграждениях должен включать следующее:</w:t>
      </w:r>
    </w:p>
    <w:p>
      <w:pPr>
        <w:spacing w:after="60"/>
        <w:ind w:firstLine="567"/>
        <w:jc w:val="both"/>
      </w:pPr>
      <w:r>
        <w:rPr>
          <w:rFonts w:ascii="Arial" w:cs="Arial" w:eastAsia="Arial" w:hAnsi="Arial"/>
          <w:sz w:val="24"/>
          <w:szCs w:val="24"/>
        </w:rPr>
        <w:t xml:space="preserve">- порядок и период выплаты премий (бонусов);</w:t>
      </w:r>
    </w:p>
    <w:p>
      <w:pPr>
        <w:spacing w:after="60"/>
        <w:ind w:firstLine="567"/>
        <w:jc w:val="both"/>
      </w:pPr>
      <w:r>
        <w:rPr>
          <w:rFonts w:ascii="Arial" w:cs="Arial" w:eastAsia="Arial" w:hAnsi="Arial"/>
          <w:sz w:val="24"/>
          <w:szCs w:val="24"/>
        </w:rPr>
        <w:t xml:space="preserve">- систему критериев выплаты премий (бонусов), которая должна учитывать результаты управления рисками в перспективе в целях долгосрочной мотивации;</w:t>
      </w:r>
    </w:p>
    <w:p>
      <w:pPr>
        <w:spacing w:after="60"/>
        <w:ind w:firstLine="567"/>
        <w:jc w:val="both"/>
      </w:pPr>
      <w:r>
        <w:rPr>
          <w:rFonts w:ascii="Arial" w:cs="Arial" w:eastAsia="Arial" w:hAnsi="Arial"/>
          <w:sz w:val="24"/>
          <w:szCs w:val="24"/>
        </w:rPr>
        <w:t xml:space="preserve">- размеры премий (бонусов);</w:t>
      </w:r>
    </w:p>
    <w:p>
      <w:pPr>
        <w:spacing w:after="60"/>
        <w:ind w:firstLine="567"/>
        <w:jc w:val="both"/>
      </w:pPr>
      <w:r>
        <w:rPr>
          <w:rFonts w:ascii="Arial" w:cs="Arial" w:eastAsia="Arial" w:hAnsi="Arial"/>
          <w:sz w:val="24"/>
          <w:szCs w:val="24"/>
        </w:rPr>
        <w:t xml:space="preserve">- при необходимости условия отсрочки выплаты существенной доли премий (бонусов) до момента получения результата от принятия конкретного риска, с учетом мер по снижению рисков ("неблагонадежность/потеря");</w:t>
      </w:r>
    </w:p>
    <w:p>
      <w:pPr>
        <w:spacing w:after="60"/>
        <w:ind w:firstLine="567"/>
        <w:jc w:val="both"/>
      </w:pPr>
      <w:r>
        <w:rPr>
          <w:rFonts w:ascii="Arial" w:cs="Arial" w:eastAsia="Arial" w:hAnsi="Arial"/>
          <w:sz w:val="24"/>
          <w:szCs w:val="24"/>
        </w:rPr>
        <w:t xml:space="preserve">- условия уменьшения или аннулирования премий (бонусов), на основании полученных результатов или принятия мер перед их выплатой;</w:t>
      </w:r>
    </w:p>
    <w:p>
      <w:pPr>
        <w:spacing w:after="60"/>
        <w:ind w:firstLine="567"/>
        <w:jc w:val="both"/>
      </w:pPr>
      <w:r>
        <w:rPr>
          <w:rFonts w:ascii="Arial" w:cs="Arial" w:eastAsia="Arial" w:hAnsi="Arial"/>
          <w:sz w:val="24"/>
          <w:szCs w:val="24"/>
        </w:rPr>
        <w:t xml:space="preserve">- условия соблюдения и выполнения планов работ/утвержденного бюджета банка;</w:t>
      </w:r>
    </w:p>
    <w:p>
      <w:pPr>
        <w:spacing w:after="60"/>
        <w:ind w:firstLine="567"/>
        <w:jc w:val="both"/>
      </w:pPr>
      <w:r>
        <w:rPr>
          <w:rFonts w:ascii="Arial" w:cs="Arial" w:eastAsia="Arial" w:hAnsi="Arial"/>
          <w:sz w:val="24"/>
          <w:szCs w:val="24"/>
        </w:rPr>
        <w:t xml:space="preserve">- прибыльность банка.</w:t>
      </w:r>
    </w:p>
    <w:p>
      <w:pPr>
        <w:spacing w:after="120" w:before="120"/>
        <w:jc w:val="center"/>
      </w:pPr>
      <w:r>
        <w:rPr>
          <w:rFonts w:ascii="Arial" w:cs="Arial" w:eastAsia="Arial" w:hAnsi="Arial"/>
          <w:sz w:val="24"/>
          <w:szCs w:val="24"/>
        </w:rPr>
        <w:t xml:space="preserve">11. Основные требования к комитету по новым продуктам</w:t>
      </w:r>
    </w:p>
    <w:p>
      <w:pPr>
        <w:spacing w:after="60"/>
        <w:ind w:firstLine="567"/>
        <w:jc w:val="both"/>
      </w:pPr>
      <w:r>
        <w:rPr>
          <w:rFonts w:ascii="Arial" w:cs="Arial" w:eastAsia="Arial" w:hAnsi="Arial"/>
          <w:sz w:val="24"/>
          <w:szCs w:val="24"/>
        </w:rPr>
        <w:t xml:space="preserve">80. Комитет по новым продуктам может создаваться в банке для принятия решения по необходимости разработки новых банковских продуктов, внедрения новых продуктов на рынок банковских услуг, а также для контроля процесса вхождения банка в рынок разработанных банком новых продуктов в соответствии с требованиями законодательства по антимонопольному регулированию.</w:t>
      </w:r>
    </w:p>
    <w:p>
      <w:pPr>
        <w:spacing w:after="60"/>
        <w:ind w:firstLine="567"/>
        <w:jc w:val="both"/>
      </w:pPr>
      <w:r>
        <w:rPr>
          <w:rFonts w:ascii="Arial" w:cs="Arial" w:eastAsia="Arial" w:hAnsi="Arial"/>
          <w:sz w:val="24"/>
          <w:szCs w:val="24"/>
        </w:rPr>
        <w:t xml:space="preserve">81. Комитет уполномочен принимать решения в отношении новых банковских продуктов для обеспечения эффективного, целенаправленного и контролируемого процесса первоначальной оценки, последующей разработки, тестирования и внедрения банковских продуктов или услуг в рамках существующих ресурсных ограничений.</w:t>
      </w:r>
    </w:p>
    <w:p>
      <w:pPr>
        <w:spacing w:after="60"/>
        <w:ind w:firstLine="567"/>
        <w:jc w:val="both"/>
      </w:pPr>
      <w:r>
        <w:rPr>
          <w:rFonts w:ascii="Arial" w:cs="Arial" w:eastAsia="Arial" w:hAnsi="Arial"/>
          <w:sz w:val="24"/>
          <w:szCs w:val="24"/>
        </w:rPr>
        <w:t xml:space="preserve">82. Комитет может определять степень вовлеченности тех или иных подразделений банка в процесс разработки новых банковских продуктов.</w:t>
      </w:r>
    </w:p>
    <w:p>
      <w:pPr>
        <w:spacing w:after="60"/>
        <w:ind w:firstLine="567"/>
        <w:jc w:val="both"/>
      </w:pPr>
      <w:r>
        <w:rPr>
          <w:rFonts w:ascii="Arial" w:cs="Arial" w:eastAsia="Arial" w:hAnsi="Arial"/>
          <w:sz w:val="24"/>
          <w:szCs w:val="24"/>
        </w:rPr>
        <w:t xml:space="preserve">83. При разработке и внедрению новых банковских продуктов комитет должен проводить оценку рисков по новым банковским продуктам и пути их снижения (минимизации).</w:t>
      </w:r>
    </w:p>
    <w:p>
      <w:pPr>
        <w:spacing w:after="60"/>
        <w:ind w:firstLine="567"/>
        <w:jc w:val="both"/>
      </w:pPr>
      <w:r>
        <w:rPr>
          <w:rFonts w:ascii="Arial" w:cs="Arial" w:eastAsia="Arial" w:hAnsi="Arial"/>
          <w:sz w:val="24"/>
          <w:szCs w:val="24"/>
        </w:rPr>
        <w:t xml:space="preserve">84. Деятельность комитета регулируется законодательством Кыргызской Республики и Положением "О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85. Комитет может состоять из членов Совета директоров и/или членов Правления, назначаемых собранием акционеров банка.</w:t>
      </w:r>
    </w:p>
    <w:p>
      <w:pPr>
        <w:spacing w:after="60"/>
        <w:ind w:firstLine="567"/>
        <w:jc w:val="both"/>
      </w:pPr>
      <w:r>
        <w:rPr>
          <w:rFonts w:ascii="Arial" w:cs="Arial" w:eastAsia="Arial" w:hAnsi="Arial"/>
          <w:sz w:val="24"/>
          <w:szCs w:val="24"/>
        </w:rPr>
        <w:t xml:space="preserve">86.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p7m7bd9ujuqsqdx8iqp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18 июля 2018 года № 2018-П-12/30-3)</w:t>
      </w:r>
    </w:p>
    <w:p>
      <w:pPr>
        <w:spacing w:after="60"/>
        <w:ind w:firstLine="567"/>
        <w:jc w:val="both"/>
      </w:pPr>
      <w:r>
        <w:rPr>
          <w:rFonts w:ascii="Arial" w:cs="Arial" w:eastAsia="Arial" w:hAnsi="Arial"/>
          <w:sz w:val="24"/>
          <w:szCs w:val="24"/>
        </w:rPr>
        <w:t xml:space="preserve">3. Внести в </w:t>
      </w:r>
      <w:hyperlink w:history="1" r:id="rIdrfd3xvgnrywk6qyjleg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hxbd9wzxaiiuse3eins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w_bysydz_l0rgxoxyvqh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jedvrvuasq-mymkv2tj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пункте 1.2 слова "Кыргызской Республики" заменить словами ", включая банки, имеющие "исламское окно";</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В банке должен быть создан Шариатский совет. Все политики и типовые договоры банка должны быть одобрены Шариатским советом.";</w:t>
      </w:r>
    </w:p>
    <w:p>
      <w:pPr>
        <w:spacing w:after="60"/>
        <w:ind w:firstLine="567"/>
        <w:jc w:val="both"/>
      </w:pPr>
      <w:r>
        <w:rPr>
          <w:rFonts w:ascii="Arial" w:cs="Arial" w:eastAsia="Arial" w:hAnsi="Arial"/>
          <w:sz w:val="24"/>
          <w:szCs w:val="24"/>
        </w:rPr>
        <w:t xml:space="preserve">- в пункте 1.5 слова "Исламский банк" заменить словом "Банк";</w:t>
      </w:r>
    </w:p>
    <w:p>
      <w:pPr>
        <w:spacing w:after="60"/>
        <w:ind w:firstLine="567"/>
        <w:jc w:val="both"/>
      </w:pPr>
      <w:r>
        <w:rPr>
          <w:rFonts w:ascii="Arial" w:cs="Arial" w:eastAsia="Arial" w:hAnsi="Arial"/>
          <w:sz w:val="24"/>
          <w:szCs w:val="24"/>
        </w:rPr>
        <w:t xml:space="preserve">- пункт 2.1.1 после первого предложения дополнить предложением следующего содержания:</w:t>
      </w:r>
    </w:p>
    <w:p>
      <w:pPr>
        <w:spacing w:after="60"/>
        <w:ind w:firstLine="567"/>
        <w:jc w:val="both"/>
      </w:pPr>
      <w:r>
        <w:rPr>
          <w:rFonts w:ascii="Arial" w:cs="Arial" w:eastAsia="Arial" w:hAnsi="Arial"/>
          <w:sz w:val="24"/>
          <w:szCs w:val="24"/>
        </w:rPr>
        <w:t xml:space="preserve">"Задолженность мудариба или иной стороны перед инвестором не может быть использована в качестве капитала в сделке мудараба.";</w:t>
      </w:r>
    </w:p>
    <w:p>
      <w:pPr>
        <w:spacing w:after="60"/>
        <w:ind w:firstLine="567"/>
        <w:jc w:val="both"/>
      </w:pPr>
      <w:r>
        <w:rPr>
          <w:rFonts w:ascii="Arial" w:cs="Arial" w:eastAsia="Arial" w:hAnsi="Arial"/>
          <w:sz w:val="24"/>
          <w:szCs w:val="24"/>
        </w:rPr>
        <w:t xml:space="preserve">- пункт 2.1.2 дополнить абзацем пятым следующего содержания:</w:t>
      </w:r>
    </w:p>
    <w:p>
      <w:pPr>
        <w:spacing w:after="60"/>
        <w:ind w:firstLine="567"/>
        <w:jc w:val="both"/>
      </w:pPr>
      <w:r>
        <w:rPr>
          <w:rFonts w:ascii="Arial" w:cs="Arial" w:eastAsia="Arial" w:hAnsi="Arial"/>
          <w:sz w:val="24"/>
          <w:szCs w:val="24"/>
        </w:rPr>
        <w:t xml:space="preserve">"Стороны могут согласовать постепенный отзыв капитала инвестором.";</w:t>
      </w:r>
    </w:p>
    <w:p>
      <w:pPr>
        <w:spacing w:after="60"/>
        <w:ind w:firstLine="567"/>
        <w:jc w:val="both"/>
      </w:pPr>
      <w:r>
        <w:rPr>
          <w:rFonts w:ascii="Arial" w:cs="Arial" w:eastAsia="Arial" w:hAnsi="Arial"/>
          <w:sz w:val="24"/>
          <w:szCs w:val="24"/>
        </w:rPr>
        <w:t xml:space="preserve">- пункт 2.1.6 изложить в следующей редакции:</w:t>
      </w:r>
    </w:p>
    <w:p>
      <w:pPr>
        <w:spacing w:after="60"/>
        <w:ind w:firstLine="567"/>
        <w:jc w:val="both"/>
      </w:pPr>
      <w:r>
        <w:rPr>
          <w:rFonts w:ascii="Arial" w:cs="Arial" w:eastAsia="Arial" w:hAnsi="Arial"/>
          <w:sz w:val="24"/>
          <w:szCs w:val="24"/>
        </w:rPr>
        <w:t xml:space="preserve">"2.1.6. При выдаче денежных средств по сделке ограниченная/специальная мудараба банк должен включить в договор условия, запрещающие мударибу нецелевое использование денежных средств, включая выдачу займов третьим лицам и предоставление подарков, и пожертвований на благотворительные цели за счет средств финансирования.";</w:t>
      </w:r>
    </w:p>
    <w:p>
      <w:pPr>
        <w:spacing w:after="60"/>
        <w:ind w:firstLine="567"/>
        <w:jc w:val="both"/>
      </w:pPr>
      <w:r>
        <w:rPr>
          <w:rFonts w:ascii="Arial" w:cs="Arial" w:eastAsia="Arial" w:hAnsi="Arial"/>
          <w:sz w:val="24"/>
          <w:szCs w:val="24"/>
        </w:rPr>
        <w:t xml:space="preserve">- пункт 2.2.6 изложить в следующей редакции:</w:t>
      </w:r>
    </w:p>
    <w:p>
      <w:pPr>
        <w:spacing w:after="60"/>
        <w:ind w:firstLine="567"/>
        <w:jc w:val="both"/>
      </w:pPr>
      <w:r>
        <w:rPr>
          <w:rFonts w:ascii="Arial" w:cs="Arial" w:eastAsia="Arial" w:hAnsi="Arial"/>
          <w:sz w:val="24"/>
          <w:szCs w:val="24"/>
        </w:rPr>
        <w:t xml:space="preserve">"Если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на основе независимой оценки.</w:t>
      </w:r>
    </w:p>
    <w:p>
      <w:pPr>
        <w:spacing w:after="60"/>
        <w:ind w:firstLine="567"/>
        <w:jc w:val="both"/>
      </w:pPr>
      <w:r>
        <w:rPr>
          <w:rFonts w:ascii="Arial" w:cs="Arial" w:eastAsia="Arial" w:hAnsi="Arial"/>
          <w:sz w:val="24"/>
          <w:szCs w:val="24"/>
        </w:rPr>
        <w:t xml:space="preserve">Если партнеры произвели взносы в капитал в разной валюте, их необходимо перевести в валюту договора шарика/мушарака по текущим обменным курсам.";</w:t>
      </w:r>
    </w:p>
    <w:p>
      <w:pPr>
        <w:spacing w:after="60"/>
        <w:ind w:firstLine="567"/>
        <w:jc w:val="both"/>
      </w:pPr>
      <w:r>
        <w:rPr>
          <w:rFonts w:ascii="Arial" w:cs="Arial" w:eastAsia="Arial" w:hAnsi="Arial"/>
          <w:sz w:val="24"/>
          <w:szCs w:val="24"/>
        </w:rPr>
        <w:t xml:space="preserve">- пункт 2.2.11 дополнить предложением третьим следующего содержания:</w:t>
      </w:r>
    </w:p>
    <w:p>
      <w:pPr>
        <w:spacing w:after="60"/>
        <w:ind w:firstLine="567"/>
        <w:jc w:val="both"/>
      </w:pPr>
      <w:r>
        <w:rPr>
          <w:rFonts w:ascii="Arial" w:cs="Arial" w:eastAsia="Arial" w:hAnsi="Arial"/>
          <w:sz w:val="24"/>
          <w:szCs w:val="24"/>
        </w:rPr>
        <w:t xml:space="preserve">"Если один из партнеров назначается в качестве управляющего активами/денежными средствами на основе отдельного договора (от договора шарика/мушарака), он вправе получать определенное вознаграждение.";</w:t>
      </w:r>
    </w:p>
    <w:p>
      <w:pPr>
        <w:spacing w:after="60"/>
        <w:ind w:firstLine="567"/>
        <w:jc w:val="both"/>
      </w:pPr>
      <w:r>
        <w:rPr>
          <w:rFonts w:ascii="Arial" w:cs="Arial" w:eastAsia="Arial" w:hAnsi="Arial"/>
          <w:sz w:val="24"/>
          <w:szCs w:val="24"/>
        </w:rPr>
        <w:t xml:space="preserve">- пункт 2.2.15 дополнить предложением следующего содержания:</w:t>
      </w:r>
    </w:p>
    <w:p>
      <w:pPr>
        <w:spacing w:after="60"/>
        <w:ind w:firstLine="567"/>
        <w:jc w:val="both"/>
      </w:pPr>
      <w:r>
        <w:rPr>
          <w:rFonts w:ascii="Arial" w:cs="Arial" w:eastAsia="Arial" w:hAnsi="Arial"/>
          <w:sz w:val="24"/>
          <w:szCs w:val="24"/>
        </w:rPr>
        <w:t xml:space="preserve">"Стороны могут договориться о распределении прибыли непропорционально вкладам партнеров в капитал. При этом, коэффициент доли пассивного партнера (если имеется таковой согласно условиям договора) в прибыли не может быть выше коэффициента его вклада в капитал.";</w:t>
      </w:r>
    </w:p>
    <w:p>
      <w:pPr>
        <w:spacing w:after="60"/>
        <w:ind w:firstLine="567"/>
        <w:jc w:val="both"/>
      </w:pPr>
      <w:r>
        <w:rPr>
          <w:rFonts w:ascii="Arial" w:cs="Arial" w:eastAsia="Arial" w:hAnsi="Arial"/>
          <w:sz w:val="24"/>
          <w:szCs w:val="24"/>
        </w:rPr>
        <w:t xml:space="preserve">- в пункте 2.3.1 предложение первое дополнить словами ", либо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в пункте 2.3.5 предложение второе абзаца второго изложить в следующей редакции:</w:t>
      </w:r>
    </w:p>
    <w:p>
      <w:pPr>
        <w:spacing w:after="60"/>
        <w:ind w:firstLine="567"/>
        <w:jc w:val="both"/>
      </w:pPr>
      <w:r>
        <w:rPr>
          <w:rFonts w:ascii="Arial" w:cs="Arial" w:eastAsia="Arial" w:hAnsi="Arial"/>
          <w:sz w:val="24"/>
          <w:szCs w:val="24"/>
        </w:rPr>
        <w:t xml:space="preserve">"Не допускается, чтобы клиент или его агент выступали и продавцом в сделке купли-продажи товара и клиентом по договору мурабаха с банком.";</w:t>
      </w:r>
    </w:p>
    <w:p>
      <w:pPr>
        <w:spacing w:after="60"/>
        <w:ind w:firstLine="567"/>
        <w:jc w:val="both"/>
      </w:pPr>
      <w:r>
        <w:rPr>
          <w:rFonts w:ascii="Arial" w:cs="Arial" w:eastAsia="Arial" w:hAnsi="Arial"/>
          <w:sz w:val="24"/>
          <w:szCs w:val="24"/>
        </w:rPr>
        <w:t xml:space="preserve">- в пункте 2.3.7:</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"Банк несет риски, связанные с повреждением товара при перевозке или хранении до передачи во владение клиенту, и они не могут быть покрыты за счет залога.";</w:t>
      </w:r>
    </w:p>
    <w:p>
      <w:pPr>
        <w:spacing w:after="60"/>
        <w:ind w:firstLine="567"/>
        <w:jc w:val="both"/>
      </w:pPr>
      <w:r>
        <w:rPr>
          <w:rFonts w:ascii="Arial" w:cs="Arial" w:eastAsia="Arial" w:hAnsi="Arial"/>
          <w:sz w:val="24"/>
          <w:szCs w:val="24"/>
        </w:rPr>
        <w:t xml:space="preserve">предложение второе абзаца пятого изложить в следующей редакции:</w:t>
      </w:r>
    </w:p>
    <w:p>
      <w:pPr>
        <w:spacing w:after="60"/>
        <w:ind w:firstLine="567"/>
        <w:jc w:val="both"/>
      </w:pPr>
      <w:r>
        <w:rPr>
          <w:rFonts w:ascii="Arial" w:cs="Arial" w:eastAsia="Arial" w:hAnsi="Arial"/>
          <w:sz w:val="24"/>
          <w:szCs w:val="24"/>
        </w:rPr>
        <w:t xml:space="preserve">"Однако, банк не вправе взимать авансовый платеж во время составления контрактов на стадии, когда клиент дал обязательство купить товар.";</w:t>
      </w:r>
    </w:p>
    <w:p>
      <w:pPr>
        <w:spacing w:after="60"/>
        <w:ind w:firstLine="567"/>
        <w:jc w:val="both"/>
      </w:pPr>
      <w:r>
        <w:rPr>
          <w:rFonts w:ascii="Arial" w:cs="Arial" w:eastAsia="Arial" w:hAnsi="Arial"/>
          <w:sz w:val="24"/>
          <w:szCs w:val="24"/>
        </w:rPr>
        <w:t xml:space="preserve">абзац пятнадцатый дополнить предложением следующего содержания:</w:t>
      </w:r>
    </w:p>
    <w:p>
      <w:pPr>
        <w:spacing w:after="60"/>
        <w:ind w:firstLine="567"/>
        <w:jc w:val="both"/>
      </w:pPr>
      <w:r>
        <w:rPr>
          <w:rFonts w:ascii="Arial" w:cs="Arial" w:eastAsia="Arial" w:hAnsi="Arial"/>
          <w:sz w:val="24"/>
          <w:szCs w:val="24"/>
        </w:rPr>
        <w:t xml:space="preserve">"При необходимости,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в абзаце восемнадцатом слово "иностранной" заменить словом "какой-либо";</w:t>
      </w:r>
    </w:p>
    <w:p>
      <w:pPr>
        <w:spacing w:after="60"/>
        <w:ind w:firstLine="567"/>
        <w:jc w:val="both"/>
      </w:pPr>
      <w:r>
        <w:rPr>
          <w:rFonts w:ascii="Arial" w:cs="Arial" w:eastAsia="Arial" w:hAnsi="Arial"/>
          <w:sz w:val="24"/>
          <w:szCs w:val="24"/>
        </w:rPr>
        <w:t xml:space="preserve">- пункт 2.4.1 изложить в следующей редакции:</w:t>
      </w:r>
    </w:p>
    <w:p>
      <w:pPr>
        <w:spacing w:after="60"/>
        <w:ind w:firstLine="567"/>
        <w:jc w:val="both"/>
      </w:pPr>
      <w:r>
        <w:rPr>
          <w:rFonts w:ascii="Arial" w:cs="Arial" w:eastAsia="Arial" w:hAnsi="Arial"/>
          <w:sz w:val="24"/>
          <w:szCs w:val="24"/>
        </w:rPr>
        <w:t xml:space="preserve">"2.4.1. Сделка иджара - это сделка по специальному приобретению банком движимого или недвижимого имущества в собственность по заявке клиента, либо движимого или недвижимого имущества находящегося в собственности банка к моменту обращения клиента и предоставление его клиенту в имущественный найм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 пункт 2.4.4 дополнить предложением пятым следующего содержания:</w:t>
      </w:r>
    </w:p>
    <w:p>
      <w:pPr>
        <w:spacing w:after="60"/>
        <w:ind w:firstLine="567"/>
        <w:jc w:val="both"/>
      </w:pPr>
      <w:r>
        <w:rPr>
          <w:rFonts w:ascii="Arial" w:cs="Arial" w:eastAsia="Arial" w:hAnsi="Arial"/>
          <w:sz w:val="24"/>
          <w:szCs w:val="24"/>
        </w:rPr>
        <w:t xml:space="preserve">"Данная сумма может быть принята в счет уплаты очередных платежей по аренде.";</w:t>
      </w:r>
    </w:p>
    <w:p>
      <w:pPr>
        <w:spacing w:after="60"/>
        <w:ind w:firstLine="567"/>
        <w:jc w:val="both"/>
      </w:pPr>
      <w:r>
        <w:rPr>
          <w:rFonts w:ascii="Arial" w:cs="Arial" w:eastAsia="Arial" w:hAnsi="Arial"/>
          <w:sz w:val="24"/>
          <w:szCs w:val="24"/>
        </w:rPr>
        <w:t xml:space="preserve">- пункт 2.4.39 дополнить абзацем седьмым следующего содержания:</w:t>
      </w:r>
    </w:p>
    <w:p>
      <w:pPr>
        <w:spacing w:after="60"/>
        <w:ind w:firstLine="567"/>
        <w:jc w:val="both"/>
      </w:pPr>
      <w:r>
        <w:rPr>
          <w:rFonts w:ascii="Arial" w:cs="Arial" w:eastAsia="Arial" w:hAnsi="Arial"/>
          <w:sz w:val="24"/>
          <w:szCs w:val="24"/>
        </w:rPr>
        <w:t xml:space="preserve">"Действие договора иджара не прекращается со смертью одной из сторон. Однако, наследники арендатора могут расторгнуть договор иджара в случае предоставления доказательств об обременительности исполнения договора иджара или отсутствия потребности в договоре иджара после наступления смерти наследодателя.";</w:t>
      </w:r>
    </w:p>
    <w:p>
      <w:pPr>
        <w:spacing w:after="60"/>
        <w:ind w:firstLine="567"/>
        <w:jc w:val="both"/>
      </w:pPr>
      <w:r>
        <w:rPr>
          <w:rFonts w:ascii="Arial" w:cs="Arial" w:eastAsia="Arial" w:hAnsi="Arial"/>
          <w:sz w:val="24"/>
          <w:szCs w:val="24"/>
        </w:rPr>
        <w:t xml:space="preserve">- в пункте 2.5.4 аббревиатуру "НБКР" заменить словами "Национального банка Кыргызской Республики";</w:t>
      </w:r>
    </w:p>
    <w:p>
      <w:pPr>
        <w:spacing w:after="60"/>
        <w:ind w:firstLine="567"/>
        <w:jc w:val="both"/>
      </w:pPr>
      <w:r>
        <w:rPr>
          <w:rFonts w:ascii="Arial" w:cs="Arial" w:eastAsia="Arial" w:hAnsi="Arial"/>
          <w:sz w:val="24"/>
          <w:szCs w:val="24"/>
        </w:rPr>
        <w:t xml:space="preserve">- предложение второе пункта 2.6.18 изложить в следующей редакции:</w:t>
      </w:r>
    </w:p>
    <w:p>
      <w:pPr>
        <w:spacing w:after="60"/>
        <w:ind w:firstLine="567"/>
        <w:jc w:val="both"/>
      </w:pPr>
      <w:r>
        <w:rPr>
          <w:rFonts w:ascii="Arial" w:cs="Arial" w:eastAsia="Arial" w:hAnsi="Arial"/>
          <w:sz w:val="24"/>
          <w:szCs w:val="24"/>
        </w:rPr>
        <w:t xml:space="preserve">"За предварительную оплату допускается скидка, при условии, что она не была предусмотрена при заключении контракта.";</w:t>
      </w:r>
    </w:p>
    <w:p>
      <w:pPr>
        <w:spacing w:after="60"/>
        <w:ind w:firstLine="567"/>
        <w:jc w:val="both"/>
      </w:pPr>
      <w:r>
        <w:rPr>
          <w:rFonts w:ascii="Arial" w:cs="Arial" w:eastAsia="Arial" w:hAnsi="Arial"/>
          <w:sz w:val="24"/>
          <w:szCs w:val="24"/>
        </w:rPr>
        <w:t xml:space="preserve">- в пункте 2.8.17 слово "иностранная" заменить словом "какая-либо".</w:t>
      </w:r>
    </w:p>
    <w:p>
      <w:pPr>
        <w:spacing w:after="60"/>
        <w:ind w:firstLine="567"/>
        <w:jc w:val="both"/>
      </w:pPr>
      <w:r>
        <w:rPr>
          <w:rFonts w:ascii="Arial" w:cs="Arial" w:eastAsia="Arial" w:hAnsi="Arial"/>
          <w:sz w:val="24"/>
          <w:szCs w:val="24"/>
        </w:rPr>
        <w:t xml:space="preserve">4. Внести в </w:t>
      </w:r>
      <w:hyperlink w:history="1" r:id="rIdsrawsgtq0yqqgjlwbmo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uqfinp0mas4hnayfgx3t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98wivcdxdv-pw0g1hb6d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4wllvpvsw1zcbknz9ww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2.4:</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Иджара - это сделка по специальному приобретению арендодателем движимого или недвижимого имущества в собственность по заявлению клиента, либо движимого или недвижимого имущества находящегося в собственности банка к моменту обращения клиента и предоставление его арендатору в имущественный наем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Договор Иджара - договор, в соответствии с которым арендодатель обязуется приобрести в собственность движимое или недвижимое имущество, указанное арендатором, либо движимое или недвижимое имущество, находящееся в собственности банка к моменту обращения арендатора и предоставить его арендатору в имущественный наем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 в пункте 49:</w:t>
      </w:r>
    </w:p>
    <w:p>
      <w:pPr>
        <w:spacing w:after="60"/>
        <w:ind w:firstLine="567"/>
        <w:jc w:val="both"/>
      </w:pPr>
      <w:r>
        <w:rPr>
          <w:rFonts w:ascii="Arial" w:cs="Arial" w:eastAsia="Arial" w:hAnsi="Arial"/>
          <w:sz w:val="24"/>
          <w:szCs w:val="24"/>
        </w:rPr>
        <w:t xml:space="preserve">в абзаце четвертом слова "кредиты/лизинги" заменить словом "финансирование";</w:t>
      </w:r>
    </w:p>
    <w:p>
      <w:pPr>
        <w:spacing w:after="60"/>
        <w:ind w:firstLine="567"/>
        <w:jc w:val="both"/>
      </w:pPr>
      <w:r>
        <w:rPr>
          <w:rFonts w:ascii="Arial" w:cs="Arial" w:eastAsia="Arial" w:hAnsi="Arial"/>
          <w:sz w:val="24"/>
          <w:szCs w:val="24"/>
        </w:rPr>
        <w:t xml:space="preserve">в абзаце пятом после слов "потерь и убытков" дополнить словами "при осуществлении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Внести в </w:t>
      </w:r>
      <w:hyperlink w:history="1" r:id="rIdxe3ukjywz_ajdk8dpmb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gu3msjxr3iowzddtfjqu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8f6yllhteytbl37zlpra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утвержденном вышеуказанным </w:t>
      </w:r>
      <w:hyperlink w:history="1" r:id="rIda_pqlnrblwcwpwf7goi9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"Настоящее </w:t>
      </w:r>
      <w:hyperlink w:history="1" r:id="rIdbponelxpvjeagswr-eo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обязательно для использования коммерческими банками, имеющими лицензию Национального банка Кыргызской Республики на проведение операций в соответствии с исламскими принципами банковского дела и финансирования, а также банками, имеющими "исламское окно" (далее - банки).";</w:t>
      </w:r>
    </w:p>
    <w:p>
      <w:pPr>
        <w:spacing w:after="60"/>
        <w:ind w:firstLine="567"/>
        <w:jc w:val="both"/>
      </w:pPr>
      <w:r>
        <w:rPr>
          <w:rFonts w:ascii="Arial" w:cs="Arial" w:eastAsia="Arial" w:hAnsi="Arial"/>
          <w:sz w:val="24"/>
          <w:szCs w:val="24"/>
        </w:rPr>
        <w:t xml:space="preserve">- пункт 1.1.3 после слов "третьим лицам" дополнить словами ", и предоставление подарков и пожертвований на благотворительные цели.";</w:t>
      </w:r>
    </w:p>
    <w:p>
      <w:pPr>
        <w:spacing w:after="60"/>
        <w:ind w:firstLine="567"/>
        <w:jc w:val="both"/>
      </w:pPr>
      <w:r>
        <w:rPr>
          <w:rFonts w:ascii="Arial" w:cs="Arial" w:eastAsia="Arial" w:hAnsi="Arial"/>
          <w:sz w:val="24"/>
          <w:szCs w:val="24"/>
        </w:rPr>
        <w:t xml:space="preserve">- пункт 2.1.1. после слов "определенного товара" дополнить словами ", либо товара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пункт 2.1.2. после слов "предмет договора по заказу клиента" дополнить словами ", либо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подпункт "а" пункта 2.1.8 изложить в следующей редакции:</w:t>
      </w:r>
    </w:p>
    <w:p>
      <w:pPr>
        <w:spacing w:after="60"/>
        <w:ind w:firstLine="567"/>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 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 в подпункте "а" пункта 2.1.9 слово "иностранной" заменить словами "какой-либо".</w:t>
      </w:r>
    </w:p>
    <w:p>
      <w:pPr>
        <w:spacing w:after="60"/>
        <w:ind w:firstLine="567"/>
        <w:jc w:val="both"/>
      </w:pPr>
      <w:r>
        <w:rPr>
          <w:rFonts w:ascii="Arial" w:cs="Arial" w:eastAsia="Arial" w:hAnsi="Arial"/>
          <w:sz w:val="24"/>
          <w:szCs w:val="24"/>
        </w:rPr>
        <w:t xml:space="preserve">6. Внести в </w:t>
      </w:r>
      <w:hyperlink w:history="1" r:id="rIdllgafzqtvmc9hwjylnn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cx4_4kgmafthjpm2bv6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26.10.2011 г. № 60/8 следующие дополнения и изменения:</w:t>
      </w:r>
    </w:p>
    <w:p>
      <w:pPr>
        <w:spacing w:after="60"/>
        <w:ind w:firstLine="567"/>
        <w:jc w:val="both"/>
      </w:pPr>
      <w:r>
        <w:rPr>
          <w:rFonts w:ascii="Arial" w:cs="Arial" w:eastAsia="Arial" w:hAnsi="Arial"/>
          <w:sz w:val="24"/>
          <w:szCs w:val="24"/>
        </w:rPr>
        <w:t xml:space="preserve">в </w:t>
      </w:r>
      <w:hyperlink w:history="1" r:id="rIdixe6ib3ptgbkt-fri0gj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утвержденном вышеуказанным </w:t>
      </w:r>
      <w:hyperlink w:history="1" r:id="rId_nsmaqqfhcxb8x2xh6d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признать утратившей силу;</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1 после слов "порядка осуществления микрофинансовыми организациями" дополнить словами ", включая микрофинансовые организации, имеющие "исламское окно";</w:t>
      </w:r>
    </w:p>
    <w:p>
      <w:pPr>
        <w:spacing w:after="60"/>
        <w:ind w:firstLine="567"/>
        <w:jc w:val="both"/>
      </w:pPr>
      <w:r>
        <w:rPr>
          <w:rFonts w:ascii="Arial" w:cs="Arial" w:eastAsia="Arial" w:hAnsi="Arial"/>
          <w:sz w:val="24"/>
          <w:szCs w:val="24"/>
        </w:rPr>
        <w:t xml:space="preserve">- в пункте 2 аббревиатуру "КР" заменить словами "Кыргызской Республики";</w:t>
      </w:r>
    </w:p>
    <w:p>
      <w:pPr>
        <w:spacing w:after="60"/>
        <w:ind w:firstLine="567"/>
        <w:jc w:val="both"/>
      </w:pPr>
      <w:r>
        <w:rPr>
          <w:rFonts w:ascii="Arial" w:cs="Arial" w:eastAsia="Arial" w:hAnsi="Arial"/>
          <w:sz w:val="24"/>
          <w:szCs w:val="24"/>
        </w:rPr>
        <w:t xml:space="preserve">- в пункте 53 первое предложение изложить в следующей редакции:</w:t>
      </w:r>
    </w:p>
    <w:p>
      <w:pPr>
        <w:spacing w:after="60"/>
        <w:ind w:firstLine="567"/>
        <w:jc w:val="both"/>
      </w:pPr>
      <w:r>
        <w:rPr>
          <w:rFonts w:ascii="Arial" w:cs="Arial" w:eastAsia="Arial" w:hAnsi="Arial"/>
          <w:sz w:val="24"/>
          <w:szCs w:val="24"/>
        </w:rPr>
        <w:t xml:space="preserve">"Сделка мурабаха - это сделка предусматривающая продажу товара в рассрочку, приобретенного ФКО по заявке клиента, либо находящегося в собственности ФКО к моменту обращения клиента.";</w:t>
      </w:r>
    </w:p>
    <w:p>
      <w:pPr>
        <w:spacing w:after="60"/>
        <w:ind w:firstLine="567"/>
        <w:jc w:val="both"/>
      </w:pPr>
      <w:r>
        <w:rPr>
          <w:rFonts w:ascii="Arial" w:cs="Arial" w:eastAsia="Arial" w:hAnsi="Arial"/>
          <w:sz w:val="24"/>
          <w:szCs w:val="24"/>
        </w:rPr>
        <w:t xml:space="preserve">- раздел II "Виды сделок, соответствующих исламским принципам банковского дела и финансирования" дополнить главой 8 следующего содержания:</w:t>
      </w:r>
    </w:p>
    <w:p>
      <w:pPr>
        <w:spacing w:after="120"/>
        <w:jc w:val="center"/>
      </w:pPr>
      <w:r>
        <w:rPr>
          <w:rFonts w:ascii="Arial" w:cs="Arial" w:eastAsia="Arial" w:hAnsi="Arial"/>
          <w:sz w:val="24"/>
          <w:szCs w:val="24"/>
        </w:rPr>
        <w:t xml:space="preserve">"Глава 8. Сделка истиснаа и параллельная истиснаа</w:t>
      </w:r>
    </w:p>
    <w:p>
      <w:pPr>
        <w:spacing w:after="60"/>
        <w:ind w:firstLine="567"/>
        <w:jc w:val="both"/>
      </w:pPr>
      <w:r>
        <w:rPr>
          <w:rFonts w:ascii="Arial" w:cs="Arial" w:eastAsia="Arial" w:hAnsi="Arial"/>
          <w:sz w:val="24"/>
          <w:szCs w:val="24"/>
        </w:rPr>
        <w:t xml:space="preserve">154-5. Сделка истиснаа - это сделка, по условиям которой одна сторона (подрядчик) обязуется выполнить по заданию другой стороны (заказчика) определенную работу (с использованием исходных материалов и труда)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60"/>
        <w:ind w:firstLine="567"/>
        <w:jc w:val="both"/>
      </w:pPr>
      <w:r>
        <w:rPr>
          <w:rFonts w:ascii="Arial" w:cs="Arial" w:eastAsia="Arial" w:hAnsi="Arial"/>
          <w:sz w:val="24"/>
          <w:szCs w:val="24"/>
        </w:rPr>
        <w:t xml:space="preserve">154-6. Предметом договора истиснаа является результат деятельности подрядчика по изготовлению объекта, а также его обработки (улучшению качеств или изменению свойств объекта) или переработке (созданию нового объекта в результате уничтожения имеющегося) либо выполнение иной работы (с использованием исходных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154-7. Параллельная истиснаа - это сделка, которая действует с помощью двух отдельных и независимых договоров. В первом договоре ФКО выступает в качестве подрядчика или поставщика и заключает договор истиснаа с клиентом, выступающим в качестве заказчика. Во втором договоре ФКО выступает в качестве заказчика и заключает другой договор (параллельная истиснаа) с подрядчиком или поставщиком с целью выполнения своих контрактных обязательств в рамках первого договора. Поставщик или подрядчик - юридическое или физическое лицо, осуществляющее предпринимательскую деятельность. Клиент - юридическое или физическое лицо, которое заказывает в рамках договора истиснаа выполнение определенных работ (с использованием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154-8. До заключения договора истиснаа клиент обращается в ФКО с заявкой, согласно которой просит ФКО выполнить определенную работу (с использованием материалов и труда) и сдать по завершению работ ее результаты в соответствии с согласованными спецификациями. Стороны договора определяют спецификации заказа (проекта) за определенную цену, которую выплачивают незамедлительно или через определенный период. ФКО должно осуществить оценку платежеспособности заказчика, а также в случае необходимости оценку его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154-9. ФКО и клиент заключают договор истиснаа до того, как ФКО получит право собственности на предмет договора, который должен быть продан клиенту или право собственности на материалы, из которых производится, строится и используется предмет договора для выполнения заказа клиента.</w:t>
      </w:r>
    </w:p>
    <w:p>
      <w:pPr>
        <w:spacing w:after="60"/>
        <w:ind w:firstLine="567"/>
        <w:jc w:val="both"/>
      </w:pPr>
      <w:r>
        <w:rPr>
          <w:rFonts w:ascii="Arial" w:cs="Arial" w:eastAsia="Arial" w:hAnsi="Arial"/>
          <w:sz w:val="24"/>
          <w:szCs w:val="24"/>
        </w:rPr>
        <w:t xml:space="preserve">154-10. Договор истиснаа является обязательным для его сторон, если соблюдены все условия, такие как указание спецификации, указание типа и цены, указание сроков, качества и количества предмет договора, который должен быть произведен. Заказчик имеет право выбора (принять предмет договора или отказаться), если предмет договора не отвечает согласованным спецификациям.</w:t>
      </w:r>
    </w:p>
    <w:p>
      <w:pPr>
        <w:spacing w:after="60"/>
        <w:ind w:firstLine="567"/>
        <w:jc w:val="both"/>
      </w:pPr>
      <w:r>
        <w:rPr>
          <w:rFonts w:ascii="Arial" w:cs="Arial" w:eastAsia="Arial" w:hAnsi="Arial"/>
          <w:sz w:val="24"/>
          <w:szCs w:val="24"/>
        </w:rPr>
        <w:t xml:space="preserve">154-11.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154-12. Подрядчик обязан выполнить по заданию заказчика определенную работу, являющейся предметом договора, и сдать ее результаты с установленными спецификациями в течение оговоренного периода времени, если стороны не согласовали иное.</w:t>
      </w:r>
    </w:p>
    <w:p>
      <w:pPr>
        <w:spacing w:after="60"/>
        <w:ind w:firstLine="567"/>
        <w:jc w:val="both"/>
      </w:pPr>
      <w:r>
        <w:rPr>
          <w:rFonts w:ascii="Arial" w:cs="Arial" w:eastAsia="Arial" w:hAnsi="Arial"/>
          <w:sz w:val="24"/>
          <w:szCs w:val="24"/>
        </w:rPr>
        <w:t xml:space="preserve">154-13. В договоре указывается цена предмета договора, дата поставки или приемка результатов работ, используемые ресурсы (собственные или с использованием компонентов,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154-14. До заключения договора истиснаа рассматриваются все предложения по определению цены предмета договора.</w:t>
      </w:r>
    </w:p>
    <w:p>
      <w:pPr>
        <w:spacing w:after="60"/>
        <w:ind w:firstLine="567"/>
        <w:jc w:val="both"/>
      </w:pPr>
      <w:r>
        <w:rPr>
          <w:rFonts w:ascii="Arial" w:cs="Arial" w:eastAsia="Arial" w:hAnsi="Arial"/>
          <w:sz w:val="24"/>
          <w:szCs w:val="24"/>
        </w:rPr>
        <w:t xml:space="preserve">154-15. Цена предмета договора определяется на момент заключения договора и может быть выплачена в форме денежных или материальных средств, или узуфрукта от активов на определенный срок, независимо от того, связан ли такой узуфрукт с другими активами, отличными от предмета договора, или он связан с самим предметом договора. Цена может быть выплачена на отсроченной основе или в рассрочку в течение определенного периода времени, при этом в целях недопущения неопределенности, стороны должны в момент заключения договора, выбрать и определить для себя один из способов оплаты. Если процесс выполнения определенных работ в рамках договора истиснаа состоит из нескольких этапов или оплата определена исходя из поэтапного выполнения работы, в таком случае подрядчик имеет право требовать от заказчика осуществлять платежи по мере завершения этапов работы в соответствии с оговоренной спецификацией.</w:t>
      </w:r>
    </w:p>
    <w:p>
      <w:pPr>
        <w:spacing w:after="60"/>
        <w:ind w:firstLine="567"/>
        <w:jc w:val="both"/>
      </w:pPr>
      <w:r>
        <w:rPr>
          <w:rFonts w:ascii="Arial" w:cs="Arial" w:eastAsia="Arial" w:hAnsi="Arial"/>
          <w:sz w:val="24"/>
          <w:szCs w:val="24"/>
        </w:rPr>
        <w:t xml:space="preserve">154-16.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ФКО использует информацию о ценах поставщиков, конкурентных на рынке,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154-17.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154-18.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154-19. В случае банкротства подрядчика/поставщика, заказчик имеет в рамках договора истиснаа приоритетное право в отношении незавершенного объекта,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154-20. Стороны устанавливают срок в рамках договора истиснаа, в течение которого подрядчик/поставщик несет ответственность за любые дефекты или за техническое обслуживание объекта, являющегося предметом договора.</w:t>
      </w:r>
    </w:p>
    <w:p>
      <w:pPr>
        <w:spacing w:after="60"/>
        <w:ind w:firstLine="567"/>
        <w:jc w:val="both"/>
      </w:pPr>
      <w:r>
        <w:rPr>
          <w:rFonts w:ascii="Arial" w:cs="Arial" w:eastAsia="Arial" w:hAnsi="Arial"/>
          <w:sz w:val="24"/>
          <w:szCs w:val="24"/>
        </w:rPr>
        <w:t xml:space="preserve">154-21. Стороны имеют право в рамках договора истиснаа, в случае необходимости, при условии обоюдного согласия, внести изменения и дополнения в действующий договор истиснаа, как в части ранее согласованных спецификаций, так и в части внесения дополнительных требований. При этом, цена должна быть соответственно откорректирована и должен быть предоставлен разумный срок для выполнения новых требований.</w:t>
      </w:r>
    </w:p>
    <w:p>
      <w:pPr>
        <w:spacing w:after="60"/>
        <w:ind w:firstLine="567"/>
        <w:jc w:val="both"/>
      </w:pPr>
      <w:r>
        <w:rPr>
          <w:rFonts w:ascii="Arial" w:cs="Arial" w:eastAsia="Arial" w:hAnsi="Arial"/>
          <w:sz w:val="24"/>
          <w:szCs w:val="24"/>
        </w:rPr>
        <w:t xml:space="preserve">154-22. Не разрешается внесение изменений в договор истисна с целью увеличения цены в обмен на предоставление отсрочки платежа. Скидка за предварительную оплату допускается, при условии, что она не была оговорена в момент заключения договора истиснаа.</w:t>
      </w:r>
    </w:p>
    <w:p>
      <w:pPr>
        <w:spacing w:after="60"/>
        <w:ind w:firstLine="567"/>
        <w:jc w:val="both"/>
      </w:pPr>
      <w:r>
        <w:rPr>
          <w:rFonts w:ascii="Arial" w:cs="Arial" w:eastAsia="Arial" w:hAnsi="Arial"/>
          <w:sz w:val="24"/>
          <w:szCs w:val="24"/>
        </w:rPr>
        <w:t xml:space="preserve">154-23.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154-24. ФКО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154-25. В случае строительства зданий или коммунальных сооружений на земле, принадлежащей заказчику, договор истиснаа может осуществляться за счет подрядчика,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подрядчиком работ.</w:t>
      </w:r>
    </w:p>
    <w:p>
      <w:pPr>
        <w:spacing w:after="60"/>
        <w:ind w:firstLine="567"/>
        <w:jc w:val="both"/>
      </w:pPr>
      <w:r>
        <w:rPr>
          <w:rFonts w:ascii="Arial" w:cs="Arial" w:eastAsia="Arial" w:hAnsi="Arial"/>
          <w:sz w:val="24"/>
          <w:szCs w:val="24"/>
        </w:rPr>
        <w:t xml:space="preserve">154-26.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возмещения.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заказчик только выплачивает стоимость выполненных работ подрядчиком, в остальном стороны не несут ответственности друг перед другом за нанесенный ущерб или убыток.</w:t>
      </w:r>
    </w:p>
    <w:p>
      <w:pPr>
        <w:spacing w:after="60"/>
        <w:ind w:firstLine="567"/>
        <w:jc w:val="both"/>
      </w:pPr>
      <w:r>
        <w:rPr>
          <w:rFonts w:ascii="Arial" w:cs="Arial" w:eastAsia="Arial" w:hAnsi="Arial"/>
          <w:sz w:val="24"/>
          <w:szCs w:val="24"/>
        </w:rPr>
        <w:t xml:space="preserve">154-27. В случае изменения законодательства, если последствия данных изменений влекут за собой дополнительные издержки в рамках договора истиснаа, которые не могут быть возложены в силу закона на подрядчика, то дополнительные издержки несет заказчик.</w:t>
      </w:r>
    </w:p>
    <w:p>
      <w:pPr>
        <w:spacing w:after="60"/>
        <w:ind w:firstLine="567"/>
        <w:jc w:val="both"/>
      </w:pPr>
      <w:r>
        <w:rPr>
          <w:rFonts w:ascii="Arial" w:cs="Arial" w:eastAsia="Arial" w:hAnsi="Arial"/>
          <w:sz w:val="24"/>
          <w:szCs w:val="24"/>
        </w:rPr>
        <w:t xml:space="preserve">154-28. ФКО, действующая в качестве подрядчика или конечного покупателя, может в качестве гарантии потребовать или выплатить денежные средства в качестве задатка, которые составляют часть цены, если условия договора выполняются. В случае, если договор истиснаа расторгается, задаток удерживается в качестве штрафа, при этом сумма должна быть равна фактически понесенному ущербу.</w:t>
      </w:r>
    </w:p>
    <w:p>
      <w:pPr>
        <w:spacing w:after="60"/>
        <w:ind w:firstLine="567"/>
        <w:jc w:val="both"/>
      </w:pPr>
      <w:r>
        <w:rPr>
          <w:rFonts w:ascii="Arial" w:cs="Arial" w:eastAsia="Arial" w:hAnsi="Arial"/>
          <w:sz w:val="24"/>
          <w:szCs w:val="24"/>
        </w:rPr>
        <w:t xml:space="preserve">154-29. В рамках договора истиснаа ФКО имеет право требовать, вне зависимости от того, выступает оно в качестве подрядчика или заказчика, такие гарантии, какие оно сочтет достаточными для защиты своих прав в отношениях с заказчиком или подрядчиком. ФКО, выступающая в качестве заказчика, может давать гарантии, запрашиваемые подрядчиком, которые могут быть в форме залога, переуступки прав.</w:t>
      </w:r>
    </w:p>
    <w:p>
      <w:pPr>
        <w:spacing w:after="60"/>
        <w:ind w:firstLine="567"/>
        <w:jc w:val="both"/>
      </w:pPr>
      <w:r>
        <w:rPr>
          <w:rFonts w:ascii="Arial" w:cs="Arial" w:eastAsia="Arial" w:hAnsi="Arial"/>
          <w:sz w:val="24"/>
          <w:szCs w:val="24"/>
        </w:rPr>
        <w:t xml:space="preserve">154-30. ФКО, выступающая в качестве заказчика, может назначать, с согласия подрядчика, фирму-консультанта с техническим опытом для того, чтобы она от имени ФКО осуществляла контроль над соответствием выполняемых работ согласованным спецификациям, а также предоставляла рекомендации в отношении оплаты за выполненные работы, ее поставки и приемки.</w:t>
      </w:r>
    </w:p>
    <w:p>
      <w:pPr>
        <w:spacing w:after="60"/>
        <w:ind w:firstLine="567"/>
        <w:jc w:val="both"/>
      </w:pPr>
      <w:r>
        <w:rPr>
          <w:rFonts w:ascii="Arial" w:cs="Arial" w:eastAsia="Arial" w:hAnsi="Arial"/>
          <w:sz w:val="24"/>
          <w:szCs w:val="24"/>
        </w:rPr>
        <w:t xml:space="preserve">154-31. ФКО, выступающая в качестве подрядчика имеет право заключать отдельный агентский договор, согласно которому заказчик назначается агентом ФКО по контролю над процессом изготовления или строительства в целях обеспечения соответствия предмета договора согласованным спецификациям.</w:t>
      </w:r>
    </w:p>
    <w:p>
      <w:pPr>
        <w:spacing w:after="60"/>
        <w:ind w:firstLine="567"/>
        <w:jc w:val="both"/>
      </w:pPr>
      <w:r>
        <w:rPr>
          <w:rFonts w:ascii="Arial" w:cs="Arial" w:eastAsia="Arial" w:hAnsi="Arial"/>
          <w:sz w:val="24"/>
          <w:szCs w:val="24"/>
        </w:rPr>
        <w:t xml:space="preserve">154-32. Дополнительные расходы по контролю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154-33. Подрядчик освобождается от обязательства по договору истиснаа, если предмет договора передан конечному покупателю, если он в состоянии осуществлять полный контроль над предметом договора, либо лицу, назначенному конечным покупателем.</w:t>
      </w:r>
    </w:p>
    <w:p>
      <w:pPr>
        <w:spacing w:after="60"/>
        <w:ind w:firstLine="567"/>
        <w:jc w:val="both"/>
      </w:pPr>
      <w:r>
        <w:rPr>
          <w:rFonts w:ascii="Arial" w:cs="Arial" w:eastAsia="Arial" w:hAnsi="Arial"/>
          <w:sz w:val="24"/>
          <w:szCs w:val="24"/>
        </w:rPr>
        <w:t xml:space="preserve">154-34.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154-35.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154-36. В случае необоснованного отказа предмет договора остается во владении подрядчика. В этом случае подрядчик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подрядчика.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154-37. Доставка предмета договора считается осуществленной с момента передачи в фактическое владение (с момента подписания сторонами акта-приема передачи)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подрядчика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подрядчика, несет конечный покупатель.</w:t>
      </w:r>
    </w:p>
    <w:p>
      <w:pPr>
        <w:spacing w:after="60"/>
        <w:ind w:firstLine="567"/>
        <w:jc w:val="both"/>
      </w:pPr>
      <w:r>
        <w:rPr>
          <w:rFonts w:ascii="Arial" w:cs="Arial" w:eastAsia="Arial" w:hAnsi="Arial"/>
          <w:sz w:val="24"/>
          <w:szCs w:val="24"/>
        </w:rPr>
        <w:t xml:space="preserve">154-38. Подрядчик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подрядчик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подрядчик имеет право обратиться к заказчику для возмещения оставшейся части. При этом расходы, связанные с процедурой продажи предмета договора, несет заказчик.</w:t>
      </w:r>
    </w:p>
    <w:p>
      <w:pPr>
        <w:spacing w:after="60"/>
        <w:ind w:firstLine="567"/>
        <w:jc w:val="both"/>
      </w:pPr>
      <w:r>
        <w:rPr>
          <w:rFonts w:ascii="Arial" w:cs="Arial" w:eastAsia="Arial" w:hAnsi="Arial"/>
          <w:sz w:val="24"/>
          <w:szCs w:val="24"/>
        </w:rPr>
        <w:t xml:space="preserve">154-39.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154-40. В отношении подрядчика предмета договора могут быть применены штрафные санкции в случае нарушения подрядчиком сроков поставки предмета договора, при условии, что задержка не была вызвана непредвиденными обстоятельствами (форс-мажор). 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154-41. Не разрешается продавать предмет договора до того, как оно перейдет в фактическое владение ФКО, за исключением случаев, предусмотренных в пункте 154-38.</w:t>
      </w:r>
    </w:p>
    <w:p>
      <w:pPr>
        <w:spacing w:after="60"/>
        <w:ind w:firstLine="567"/>
        <w:jc w:val="both"/>
      </w:pPr>
      <w:r>
        <w:rPr>
          <w:rFonts w:ascii="Arial" w:cs="Arial" w:eastAsia="Arial" w:hAnsi="Arial"/>
          <w:sz w:val="24"/>
          <w:szCs w:val="24"/>
        </w:rPr>
        <w:t xml:space="preserve">154-42. ФКО, выступающая в качестве заказчика, после вступления во владение предметом договора может назначать подрядчика в качестве агента для продажи предмета договора заказчикам ФКО. В данном случае агентский договор между ФКО и подрядчиком заключается отдельно от договора истиснаа.</w:t>
      </w:r>
    </w:p>
    <w:p>
      <w:pPr>
        <w:spacing w:after="60"/>
        <w:ind w:firstLine="567"/>
        <w:jc w:val="both"/>
      </w:pPr>
      <w:r>
        <w:rPr>
          <w:rFonts w:ascii="Arial" w:cs="Arial" w:eastAsia="Arial" w:hAnsi="Arial"/>
          <w:sz w:val="24"/>
          <w:szCs w:val="24"/>
        </w:rPr>
        <w:t xml:space="preserve">154-43. ФКО имеет право в рамках договора заказать изготовление товара, имеющего свою спецификацию. Впоследствии ФКО имеет право на основе договора "параллельная истиснаа" заключить договор с другой стороной с целью продажи, уже в качестве подрядчика или поставщика товаров, спецификация которых соответствует требованиям договора другой стороны, и выполнить соответственно свои договорные обязательства. При этом, дата поставки,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154-44. ФКО, выступающая в качестве подрядчика или поставщика, имеет право заключать договор истиснаа с целью продажи таких товаров заказчику в рассрочку и заключать договор параллельная истиснаа на основе немедленного платежа с основным подрядчиком/поставщиком для приобретения товаров со спецификациями, предусмотренных в первом договоре и далее продажи их заказчику. При этом,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154-45. В случае заключения договора истиснаа в качестве подрядчика или поставщика, ФКО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ФКО не может в договоре параллельная истиснаа, заключенном с изготовителем/поставщиком, передавать последнему ответственность за риск, вытекающий из обязательств ФКО по отношению к заказчику.</w:t>
      </w:r>
    </w:p>
    <w:p>
      <w:pPr>
        <w:spacing w:after="60"/>
        <w:ind w:firstLine="567"/>
        <w:jc w:val="both"/>
      </w:pPr>
      <w:r>
        <w:rPr>
          <w:rFonts w:ascii="Arial" w:cs="Arial" w:eastAsia="Arial" w:hAnsi="Arial"/>
          <w:sz w:val="24"/>
          <w:szCs w:val="24"/>
        </w:rPr>
        <w:t xml:space="preserve">154-46. Не допускаются договорные связи между обязательствами по двум договорам (договорам истиснаа и параллельная истиснаа) при их заключении. Таким образом, не разрешается стороне, участвующей в обычном договоре истиснаа отказываться от своих обязательств или задерживать передачу предмета договора, вследствие возникновения задержек или неисполнения обязательств по договору параллельная истиснаа или увеличивать цену на поставляемые товары из-за увеличения стоимости товаров по договору параллельная истиснаа.</w:t>
      </w:r>
    </w:p>
    <w:p>
      <w:pPr>
        <w:spacing w:after="60"/>
        <w:ind w:firstLine="567"/>
        <w:jc w:val="both"/>
      </w:pPr>
      <w:r>
        <w:rPr>
          <w:rFonts w:ascii="Arial" w:cs="Arial" w:eastAsia="Arial" w:hAnsi="Arial"/>
          <w:sz w:val="24"/>
          <w:szCs w:val="24"/>
        </w:rPr>
        <w:t xml:space="preserve">При этом не ограничивается право ФКО предусматривать условия и требования при заключении договора параллельная истиснаа, когда ФКО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ФКО выступает в качестве поставщика.".</w:t>
      </w:r>
    </w:p>
    <w:p>
      <w:pPr>
        <w:spacing w:after="60"/>
        <w:ind w:firstLine="567"/>
        <w:jc w:val="both"/>
      </w:pPr>
      <w:r>
        <w:rPr>
          <w:rFonts w:ascii="Arial" w:cs="Arial" w:eastAsia="Arial" w:hAnsi="Arial"/>
          <w:sz w:val="24"/>
          <w:szCs w:val="24"/>
        </w:rPr>
        <w:t xml:space="preserve">7. Внести в </w:t>
      </w:r>
      <w:hyperlink w:history="1" r:id="rId7pli__ybyfm74plykeb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3_co6q0lirtzysk6kj6x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от 23 октября 2013 года № 39/9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wyiikxtdut3-8zxq2trf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утвержденном вышеуказанным </w:t>
      </w:r>
      <w:hyperlink w:history="1" r:id="rIdaycdpugvwpln0pg5mrbmp">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"Настоящее </w:t>
      </w:r>
      <w:hyperlink w:history="1" r:id="rIdc-p96nrj371oriilol2z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микрофинансовые организации, включая микрофинансовые организации, имеющие "исламское окно", и кредитные союзы, имеющие лицензию (свидетельства) Национального банка Кыргызской Республики на проведение операций в соответствии с исламскими принципами банковского дела и финансирования (далее - ФКО).";</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20 после слов "определенного товара" дополнить словами ", либо товара находящегося в собственности ФКО к моменту обращения клиента.";</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По договору мурабаха ФКО обязуется от своего имени приобрести предмет договора по заказу клиента, либо находящегося в собственности ФКО к моменту обращения клиента и продать последнему в рассрочку.".</w:t>
      </w:r>
    </w:p>
    <w:p>
      <w:pPr>
        <w:spacing w:after="60"/>
        <w:ind w:firstLine="567"/>
        <w:jc w:val="both"/>
      </w:pPr>
      <w:r>
        <w:rPr>
          <w:rFonts w:ascii="Arial" w:cs="Arial" w:eastAsia="Arial" w:hAnsi="Arial"/>
          <w:sz w:val="24"/>
          <w:szCs w:val="24"/>
        </w:rPr>
        <w:t xml:space="preserve">8. Внести в </w:t>
      </w:r>
      <w:hyperlink w:history="1" r:id="rId9w6vtykkalduk4saktt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nn9downcqg09ijo1yt_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 следующие изменения:</w:t>
      </w:r>
    </w:p>
    <w:p>
      <w:pPr>
        <w:spacing w:after="60"/>
        <w:ind w:firstLine="567"/>
        <w:jc w:val="both"/>
      </w:pPr>
      <w:r>
        <w:rPr>
          <w:rFonts w:ascii="Arial" w:cs="Arial" w:eastAsia="Arial" w:hAnsi="Arial"/>
          <w:sz w:val="24"/>
          <w:szCs w:val="24"/>
        </w:rPr>
        <w:t xml:space="preserve">в </w:t>
      </w:r>
      <w:hyperlink w:history="1" r:id="rIdwiebit5bssjhypiusy4-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утвержденном вышеуказанным </w:t>
      </w:r>
      <w:hyperlink w:history="1" r:id="rIdteqirok1ajd_ejckctppz">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uuin9gmljn1vzkezfja9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общие принципы системы классификации активов и резервов на покрытие потенциальных потерь и убытков (далее - РППУ), для микрофинансовых организаций, включая микрофинансовые организации, имеющие "исламское окно", не имеющих лицензии на право привлечения денежных средств (далее - МФО), осуществляющих свою деятельность в соответствии с исламскими принципами банковского дела и финансирования на основании свидетельства/лицензии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 подпункт 2 пункта 29 изложить в следующей редакции:</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9. Внести в </w:t>
      </w:r>
      <w:hyperlink w:history="1" r:id="rIdpzava4um2j_mad--n6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jgw5mtvjmleh05by7vx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 следующие изменения:</w:t>
      </w:r>
    </w:p>
    <w:p>
      <w:pPr>
        <w:spacing w:after="60"/>
        <w:ind w:firstLine="567"/>
        <w:jc w:val="both"/>
      </w:pPr>
      <w:r>
        <w:rPr>
          <w:rFonts w:ascii="Arial" w:cs="Arial" w:eastAsia="Arial" w:hAnsi="Arial"/>
          <w:sz w:val="24"/>
          <w:szCs w:val="24"/>
        </w:rPr>
        <w:t xml:space="preserve">в </w:t>
      </w:r>
      <w:hyperlink w:history="1" r:id="rId_x9fqsurncznoiyxzen-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утвержденном вышеуказанным </w:t>
      </w:r>
      <w:hyperlink w:history="1" r:id="rId8monlyhk2dtugctmnls_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w:t>
      </w:r>
      <w:hyperlink w:history="1" r:id="rIdtmmcvtgf13r_nf62i2jv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кредитные союзы, имеющие лицензию Национального банка Кыргызской Республики (далее - Национальный банк) на проведение операций в соответствии с исламскими принципами банковского дела и финансирования (далее - кредитные союзы).";</w:t>
      </w:r>
    </w:p>
    <w:p>
      <w:pPr>
        <w:spacing w:after="60"/>
        <w:ind w:firstLine="567"/>
        <w:jc w:val="both"/>
      </w:pPr>
      <w:r>
        <w:rPr>
          <w:rFonts w:ascii="Arial" w:cs="Arial" w:eastAsia="Arial" w:hAnsi="Arial"/>
          <w:sz w:val="24"/>
          <w:szCs w:val="24"/>
        </w:rPr>
        <w:t xml:space="preserve">- подпункт 2 пункта 23 изложить в следующей редакции:</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1_z0hfnqwnpzq0s1kf">
      <w:r>
        <w:rPr>
          <w:rFonts w:ascii="Arial" w:cs="Arial" w:eastAsia="Arial" w:hAnsi="Arial"/>
          <w:color w:val="132D3F"/>
          <w:sz w:val="16"/>
          <w:szCs w:val="16"/>
          <w:u w:val="single"/>
        </w:rPr>
        <w:t xml:space="preserve">dalil.kg/document/800200</w:t>
      </w:r>
    </w:hyperlink>
  </w:p>
  <w:p>
    <w:pPr>
      <w:spacing w:after="0" w:before="40"/>
      <w:jc w:val="center"/>
    </w:pPr>
    <w:hyperlink w:history="1" r:id="rIdcy8arpgc-5jjekqymim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ksuyzc_svep7won3bal" Type="http://schemas.openxmlformats.org/officeDocument/2006/relationships/hyperlink" Target="https://dalil.kg/document/800100" TargetMode="External"/><Relationship Id="rIdvextbkvduq2bhxyuoorel" Type="http://schemas.openxmlformats.org/officeDocument/2006/relationships/hyperlink" Target="https://dalil.kg/document/559" TargetMode="External"/><Relationship Id="rId1skyrzgzqfnpxj_j1slow" Type="http://schemas.openxmlformats.org/officeDocument/2006/relationships/hyperlink" Target="https://dalil.kg/document/800200#p1" TargetMode="External"/><Relationship Id="rIdf6xhszr16swx3yjl_rl8h" Type="http://schemas.openxmlformats.org/officeDocument/2006/relationships/hyperlink" Target="https://dalil.kg/document/302433" TargetMode="External"/><Relationship Id="rIdqf_33lyiir6huo-rnzx5y" Type="http://schemas.openxmlformats.org/officeDocument/2006/relationships/hyperlink" Target="https://dalil.kg/document/302434" TargetMode="External"/><Relationship Id="rIdkj1pboh-sk7uogtck4due" Type="http://schemas.openxmlformats.org/officeDocument/2006/relationships/hyperlink" Target="https://dalil.kg/document/800100" TargetMode="External"/><Relationship Id="rId8jj8dwbo0h1sosw6npqqe" Type="http://schemas.openxmlformats.org/officeDocument/2006/relationships/hyperlink" Target="https://dalil.kg/document/301246" TargetMode="External"/><Relationship Id="rIdiypssqzhfjgdn95ilfyhm" Type="http://schemas.openxmlformats.org/officeDocument/2006/relationships/hyperlink" Target="https://dalil.kg/document/302273" TargetMode="External"/><Relationship Id="rIdre-ssha27vvqcrhcdbftb" Type="http://schemas.openxmlformats.org/officeDocument/2006/relationships/hyperlink" Target="https://dalil.kg/document/301247" TargetMode="External"/><Relationship Id="rIdq1z5q11yrzpwufp27hxll" Type="http://schemas.openxmlformats.org/officeDocument/2006/relationships/hyperlink" Target="https://dalil.kg/document/302274" TargetMode="External"/><Relationship Id="rIdeut0ograokhidrfgxjc2n" Type="http://schemas.openxmlformats.org/officeDocument/2006/relationships/hyperlink" Target="https://dalil.kg/document/300539" TargetMode="External"/><Relationship Id="rIdji3zwh9qwd9oou9w_nn4i" Type="http://schemas.openxmlformats.org/officeDocument/2006/relationships/hyperlink" Target="https://dalil.kg/document/300540" TargetMode="External"/><Relationship Id="rIdk7kjlrfxj0yjluo1f15mw" Type="http://schemas.openxmlformats.org/officeDocument/2006/relationships/hyperlink" Target="https://dalil.kg/document/302430" TargetMode="External"/><Relationship Id="rIdqeeyzgj7ehb_vihet8bnk" Type="http://schemas.openxmlformats.org/officeDocument/2006/relationships/hyperlink" Target="https://dalil.kg/document/302431" TargetMode="External"/><Relationship Id="rIdzs1ldfjmwlwju4tji8auc" Type="http://schemas.openxmlformats.org/officeDocument/2006/relationships/hyperlink" Target="https://dalil.kg/document/30791" TargetMode="External"/><Relationship Id="rId2rqroiuhrta-9v-ijdwjw" Type="http://schemas.openxmlformats.org/officeDocument/2006/relationships/hyperlink" Target="https://dalil.kg/document/302790" TargetMode="External"/><Relationship Id="rIdj7wxvdbckj7eczre1lmqd" Type="http://schemas.openxmlformats.org/officeDocument/2006/relationships/hyperlink" Target="https://dalil.kg/document/302958" TargetMode="External"/><Relationship Id="rId4ud_6yi4zim7cjccxfqxt" Type="http://schemas.openxmlformats.org/officeDocument/2006/relationships/hyperlink" Target="https://dalil.kg/document/302959" TargetMode="External"/><Relationship Id="rIdhnuasaqsufrguhjiu5f0o" Type="http://schemas.openxmlformats.org/officeDocument/2006/relationships/hyperlink" Target="https://dalil.kg/document/302934" TargetMode="External"/><Relationship Id="rIdvqavdfpfudqhwzwfzwxzt" Type="http://schemas.openxmlformats.org/officeDocument/2006/relationships/hyperlink" Target="https://dalil.kg/document/302936" TargetMode="External"/><Relationship Id="rIdhq17es40nl4ah8blqpvtl" Type="http://schemas.openxmlformats.org/officeDocument/2006/relationships/hyperlink" Target="https://dalil.kg/document/800100" TargetMode="External"/><Relationship Id="rIdafn9povruigi9mhffrqek" Type="http://schemas.openxmlformats.org/officeDocument/2006/relationships/hyperlink" Target="https://dalil.kg/document/800100" TargetMode="External"/><Relationship Id="rIdibfusl_zz3vj8b7fnwv1q" Type="http://schemas.openxmlformats.org/officeDocument/2006/relationships/hyperlink" Target="https://dalil.kg/document/302433" TargetMode="External"/><Relationship Id="rIdazerl1tm2xl024drwms3v" Type="http://schemas.openxmlformats.org/officeDocument/2006/relationships/hyperlink" Target="https://dalil.kg/document/302434" TargetMode="External"/><Relationship Id="rIdcz0vk_aji1djwuq2drz7e" Type="http://schemas.openxmlformats.org/officeDocument/2006/relationships/hyperlink" Target="https://dalil.kg/document/302434" TargetMode="External"/><Relationship Id="rIdm4urhh0pbwepjtxdfdu4e" Type="http://schemas.openxmlformats.org/officeDocument/2006/relationships/hyperlink" Target="https://dalil.kg/document/302433" TargetMode="External"/><Relationship Id="rIdc3nkbdbgbvbdvowwfr_8t" Type="http://schemas.openxmlformats.org/officeDocument/2006/relationships/hyperlink" Target="https://dalil.kg/document/302434" TargetMode="External"/><Relationship Id="rIdipn93by4mqoxgljkrmf2p" Type="http://schemas.openxmlformats.org/officeDocument/2006/relationships/hyperlink" Target="https://dalil.kg/document/302434" TargetMode="External"/><Relationship Id="rIdi66kv9rcb7d9_px2rrqmr" Type="http://schemas.openxmlformats.org/officeDocument/2006/relationships/hyperlink" Target="https://dalil.kg/document/302434" TargetMode="External"/><Relationship Id="rIdfjrptfkuufwpbvkroe5tw" Type="http://schemas.openxmlformats.org/officeDocument/2006/relationships/hyperlink" Target="https://dalil.kg/document/302434" TargetMode="External"/><Relationship Id="rIdhemfj4cegfechrerngbjb" Type="http://schemas.openxmlformats.org/officeDocument/2006/relationships/hyperlink" Target="https://dalil.kg/document/111486" TargetMode="External"/><Relationship Id="rIdkhaqzk-rdyrzs82fijm5p" Type="http://schemas.openxmlformats.org/officeDocument/2006/relationships/hyperlink" Target="https://dalil.kg/document/1188" TargetMode="External"/><Relationship Id="rIdn2bxwhwwqhvvcaptgroiw" Type="http://schemas.openxmlformats.org/officeDocument/2006/relationships/hyperlink" Target="https://dalil.kg/document/302434" TargetMode="External"/><Relationship Id="rIdp6ngfbiyh6fbnqpqvqsyg" Type="http://schemas.openxmlformats.org/officeDocument/2006/relationships/hyperlink" Target="https://dalil.kg/document/302434" TargetMode="External"/><Relationship Id="rIdu3nfhv0bnlzqfyfbzhn-e" Type="http://schemas.openxmlformats.org/officeDocument/2006/relationships/hyperlink" Target="https://dalil.kg/document/302434" TargetMode="External"/><Relationship Id="rIdlhcayjxkxezqxwjtzwk5m" Type="http://schemas.openxmlformats.org/officeDocument/2006/relationships/hyperlink" Target="https://dalil.kg/document/302434" TargetMode="External"/><Relationship Id="rIdsqkjqi5s2zunp1hvnrhy6" Type="http://schemas.openxmlformats.org/officeDocument/2006/relationships/hyperlink" Target="https://dalil.kg/document/302434" TargetMode="External"/><Relationship Id="rId51jgt1okcmssh9sxc6kne" Type="http://schemas.openxmlformats.org/officeDocument/2006/relationships/hyperlink" Target="https://dalil.kg/document/302434" TargetMode="External"/><Relationship Id="rIdp7m7bd9ujuqsqdx8iqpfg" Type="http://schemas.openxmlformats.org/officeDocument/2006/relationships/hyperlink" Target="https://dalil.kg/document/800100" TargetMode="External"/><Relationship Id="rIdrfd3xvgnrywk6qyjlegqg" Type="http://schemas.openxmlformats.org/officeDocument/2006/relationships/hyperlink" Target="https://dalil.kg/document/301246" TargetMode="External"/><Relationship Id="rIdxhxbd9wzxaiiuse3einsf" Type="http://schemas.openxmlformats.org/officeDocument/2006/relationships/hyperlink" Target="https://dalil.kg/document/302273" TargetMode="External"/><Relationship Id="rIdw_bysydz_l0rgxoxyvqhi" Type="http://schemas.openxmlformats.org/officeDocument/2006/relationships/hyperlink" Target="https://dalil.kg/document/302273" TargetMode="External"/><Relationship Id="rIdjedvrvuasq-mymkv2tj4b" Type="http://schemas.openxmlformats.org/officeDocument/2006/relationships/hyperlink" Target="https://dalil.kg/document/301246" TargetMode="External"/><Relationship Id="rIdsrawsgtq0yqqgjlwbmowj" Type="http://schemas.openxmlformats.org/officeDocument/2006/relationships/hyperlink" Target="https://dalil.kg/document/300539" TargetMode="External"/><Relationship Id="rIduqfinp0mas4hnayfgx3tv" Type="http://schemas.openxmlformats.org/officeDocument/2006/relationships/hyperlink" Target="https://dalil.kg/document/300540" TargetMode="External"/><Relationship Id="rId98wivcdxdv-pw0g1hb6du" Type="http://schemas.openxmlformats.org/officeDocument/2006/relationships/hyperlink" Target="https://dalil.kg/document/300540" TargetMode="External"/><Relationship Id="rId4wllvpvsw1zcbknz9wwxr" Type="http://schemas.openxmlformats.org/officeDocument/2006/relationships/hyperlink" Target="https://dalil.kg/document/300539" TargetMode="External"/><Relationship Id="rIdxe3ukjywz_ajdk8dpmbey" Type="http://schemas.openxmlformats.org/officeDocument/2006/relationships/hyperlink" Target="https://dalil.kg/document/301247" TargetMode="External"/><Relationship Id="rIdgu3msjxr3iowzddtfjquo" Type="http://schemas.openxmlformats.org/officeDocument/2006/relationships/hyperlink" Target="https://dalil.kg/document/302274" TargetMode="External"/><Relationship Id="rId8f6yllhteytbl37zlpraw" Type="http://schemas.openxmlformats.org/officeDocument/2006/relationships/hyperlink" Target="https://dalil.kg/document/302274" TargetMode="External"/><Relationship Id="rIda_pqlnrblwcwpwf7goi9y" Type="http://schemas.openxmlformats.org/officeDocument/2006/relationships/hyperlink" Target="https://dalil.kg/document/301247" TargetMode="External"/><Relationship Id="rIdbponelxpvjeagswr-eomd" Type="http://schemas.openxmlformats.org/officeDocument/2006/relationships/hyperlink" Target="https://dalil.kg/document/302274" TargetMode="External"/><Relationship Id="rIdllgafzqtvmc9hwjylnnwo" Type="http://schemas.openxmlformats.org/officeDocument/2006/relationships/hyperlink" Target="https://dalil.kg/document/302430" TargetMode="External"/><Relationship Id="rIdacx4_4kgmafthjpm2bv6d" Type="http://schemas.openxmlformats.org/officeDocument/2006/relationships/hyperlink" Target="https://dalil.kg/document/302431" TargetMode="External"/><Relationship Id="rIdixe6ib3ptgbkt-fri0gjo" Type="http://schemas.openxmlformats.org/officeDocument/2006/relationships/hyperlink" Target="https://dalil.kg/document/302431" TargetMode="External"/><Relationship Id="rId_nsmaqqfhcxb8x2xh6dyo" Type="http://schemas.openxmlformats.org/officeDocument/2006/relationships/hyperlink" Target="https://dalil.kg/document/302430" TargetMode="External"/><Relationship Id="rId7pli__ybyfm74plykebnk" Type="http://schemas.openxmlformats.org/officeDocument/2006/relationships/hyperlink" Target="https://dalil.kg/document/301791" TargetMode="External"/><Relationship Id="rId3_co6q0lirtzysk6kj6xw" Type="http://schemas.openxmlformats.org/officeDocument/2006/relationships/hyperlink" Target="https://dalil.kg/document/302790" TargetMode="External"/><Relationship Id="rIdwyiikxtdut3-8zxq2trff" Type="http://schemas.openxmlformats.org/officeDocument/2006/relationships/hyperlink" Target="https://dalil.kg/document/302790" TargetMode="External"/><Relationship Id="rIdaycdpugvwpln0pg5mrbmp" Type="http://schemas.openxmlformats.org/officeDocument/2006/relationships/hyperlink" Target="https://dalil.kg/document/302791" TargetMode="External"/><Relationship Id="rIdc-p96nrj371oriilol2zl" Type="http://schemas.openxmlformats.org/officeDocument/2006/relationships/hyperlink" Target="https://dalil.kg/document/302790" TargetMode="External"/><Relationship Id="rId9w6vtykkalduk4saktt4e" Type="http://schemas.openxmlformats.org/officeDocument/2006/relationships/hyperlink" Target="https://dalil.kg/document/302958" TargetMode="External"/><Relationship Id="rIdbnn9downcqg09ijo1yt_s" Type="http://schemas.openxmlformats.org/officeDocument/2006/relationships/hyperlink" Target="https://dalil.kg/document/302959" TargetMode="External"/><Relationship Id="rIdwiebit5bssjhypiusy4-s" Type="http://schemas.openxmlformats.org/officeDocument/2006/relationships/hyperlink" Target="https://dalil.kg/document/302959" TargetMode="External"/><Relationship Id="rIdteqirok1ajd_ejckctppz" Type="http://schemas.openxmlformats.org/officeDocument/2006/relationships/hyperlink" Target="https://dalil.kg/document/302958" TargetMode="External"/><Relationship Id="rIduuin9gmljn1vzkezfja9c" Type="http://schemas.openxmlformats.org/officeDocument/2006/relationships/hyperlink" Target="https://dalil.kg/document/302959" TargetMode="External"/><Relationship Id="rIdpzava4um2j_mad--n6py-" Type="http://schemas.openxmlformats.org/officeDocument/2006/relationships/hyperlink" Target="https://dalil.kg/document/302934" TargetMode="External"/><Relationship Id="rIdejgw5mtvjmleh05by7vxu" Type="http://schemas.openxmlformats.org/officeDocument/2006/relationships/hyperlink" Target="https://dalil.kg/document/302936" TargetMode="External"/><Relationship Id="rId_x9fqsurncznoiyxzen-l" Type="http://schemas.openxmlformats.org/officeDocument/2006/relationships/hyperlink" Target="https://dalil.kg/document/302936" TargetMode="External"/><Relationship Id="rId8monlyhk2dtugctmnls_h" Type="http://schemas.openxmlformats.org/officeDocument/2006/relationships/hyperlink" Target="https://dalil.kg/document/302934" TargetMode="External"/><Relationship Id="rIdtmmcvtgf13r_nf62i2jvs" Type="http://schemas.openxmlformats.org/officeDocument/2006/relationships/hyperlink" Target="https://dalil.kg/document/302936"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1_z0hfnqwnpzq0s1kf" Type="http://schemas.openxmlformats.org/officeDocument/2006/relationships/hyperlink" Target="https://dalil.kg/document/800200" TargetMode="External"/><Relationship Id="rIdcy8arpgc-5jjekqymim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2026-09-25T05:43:08.270Z</dcterms:created>
  <dcterms:modified xsi:type="dcterms:W3CDTF">2026-09-25T05:43:08.270Z</dcterms:modified>
</cp:coreProperties>
</file>

<file path=docProps/custom.xml><?xml version="1.0" encoding="utf-8"?>
<Properties xmlns="http://schemas.openxmlformats.org/officeDocument/2006/custom-properties" xmlns:vt="http://schemas.openxmlformats.org/officeDocument/2006/docPropsVTypes"/>
</file>