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августа 2018 года № 2018-П-12/33-6-(НПА)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нормативные правовые акты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bh-qwlifyp-uole2mb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ecaxdiwm4rzr0zcwsvq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нормативные правовые акты Национального банка Кыргызской Республики (прилагаются):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g8ydra-31zzihxv21a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hjsq0uroych0qusqjof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достаточности (адекватности) капитала коммерческих банков Кыргызской Республики" от 21 июля 2004 года № 18/2";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flfbkft0gcb3wmllm9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25 августа 2005 года № 26/5".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(пятнадцати)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для коммерческих банков исполнение подпункта 6 пункта 4.3 </w:t>
      </w:r>
      <w:hyperlink w:history="1" r:id="rIdzpq7kdtilrxneoi5zav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достаточности (адекватности) капитала коммерческих банков Кыргызской Республики в следующие сроки: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2019 до 30 июня 2019 года - степень кредитного риска 110%;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июля 2019 до 31 декабря 2019 года - степень кредитного риска 130%;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2020 года - степень кредитного риска 150%.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для коммерческих банков исполнение подпункта 7 пункта 4.3 </w:t>
      </w:r>
      <w:hyperlink w:history="1" r:id="rIdk4-raa3g4kiqdoypnkl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достаточности (адекватности) капитала коммерческих банков Кыргызской Республики в следующие сроки: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2019 до 30 июня 2019 года - степень кредитного риска 130%;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июля 2019 до 31 декабря 2019 года - степень кредитного риска 160%;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2020 года - степень кредитного риска 200%.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методологии надзора и лицензирования банков довести настоящее постановление до сведения коммерческих банков, специализированной финансово-кредитной организации ОАО "Финансовая компания кредитных союзов", соответствующих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члена Правления Национального банка Кыргызской Республики Джусупова Т.Дж.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15 августа 2018 года № 2018-П-12/33-6-(НПА)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 И ДОПОЛНЕНИЯ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некоторые нормативные правовые акты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dsxiwnotoc0slajpts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4guwpyky3b1qqhcnmn3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достаточности (адекватности) капитала коммерческих банков Кыргызской Республики" от 21 июля 2004 года № 18/2 следующие дополнения и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uwcvyoiofomxtxiosi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достаточности (адекватности) капитала коммерческих банков Кыргызской Республики, утвержденной вышеуказанным </w:t>
      </w:r>
      <w:hyperlink w:history="1" r:id="rIdxiyzv3sdy236lvji1x4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"2.4. В целях сохранения финансовой устойчивости банка и сохранения стабильности его деятельности устанавливается требование о поддержке "дополнительного запаса капитала банка" (индекс "буфер капитала") для выплаты дивидендов. Индекс "буфер капитала" определяется аналогично расчету коэффициента достаточности (адекватности) суммарного капитала. Значение индекса "буфер капитала" устанавливается в размере 18%. Для банков, доля депозитов и кредитов клиентов которых составляет соответственно 8% и более от общей суммы депозитов и кредитов клиентов банковской системы в целом, требование о необходимости поддержки индекса "буфер капитала" на уровне не менее 20% устанавливается Комитетом по надзору Национального банка, при этом учитываются нормы Положения "О критериях системности коммерческих банков и небанковских финансово-кредитных организаций".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настоящего пункта под "депозитами" понимаются счета юридических лиц, включая депозиты органов власти, и физических лиц.";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"2.5. Банк не имеет право принимать решение о выплате дивидендов в случае, если индекс "буфер капитала", рассчитанный с учетом вычета суммы дивидендов, планируемой к выплате, будет составлять значение ниже установленного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выплаты дивидендов индекс "буфер капитала" должен составлять значение не ниже установленного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соблюдения значения индекса "буфер капитала", рассчитанного с учетом вычета суммы дивидендов, планируемой к выплате, банк должен получить разрешение Национального банка на выплату, за исключением случаев, когда за счет нераспределенной прибыли банк увеличивает свой уставной капитал.";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2.6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тринадцатом и шестнадцатом подпункта в) пункта 3.7 слова "Управления внешнего надзора" заменить словами "уполномоченного структурного подразделения";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"4.3. В зависимости от степени кредитного риска, а также от типа отдельных партнеров/контрагентов балансовые активы делятся на следующие категории: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Категория 1 (степень кредитного риска - 0%):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банкноты и монеты Кыргызской Республики, государств, являющихся членами ЕАЭС и ОЭСР и государств, имеющих долгосрочный суверенный кредитный рейтинг не ниже уровня "А", присвоенный рейтинговым агентством "Standard &amp; Poor's" или равнозначный рейтинг, присвоенный одним из рейтинговых агентств "Japan Credit Rating Agency (JCR)", "Fitch Ratings", "Dominion Bond Rating Service (DBRS)" и "Moody's Investors Service".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ОЭСР - Организация экономического сотрудничества и развития. Перечень государств-членов ОЭСР размещен на официальном сайте www.oecd.org;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требования к Национальному банку;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требования к Правительству Кыргызской Республики (ценные бумаги, выпущенные Правительством Кыргызской Республики и другие требования);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требования к центральным (национальным) банкам государств, имеющих долгосрочный суверенный кредитный рейтинг не ниже уровня "А", присвоенный рейтинговым агентством "Standard &amp; Poor's" или равнозначный рейтинг, присвоенный одним из рейтинговых агентств "Japan Credit Rating Agency (JCR)", "Fitch Ratings", "Dominion Bond Rating Service (DBRS)" и "Moody's Investors Service" или являющихся членами ОЭСР;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требования к правительствам государств, имеющих долгосрочный суверенный кредитный рейтинг не ниже уровня "А", присвоенный рейтинговым агентством "Standard &amp; Poor's" или равнозначный рейтинг, присвоенный одним из рейтинговых агентств "Japan Credit Rating Agency (JCR)", "Fitch Ratings", "Dominion Bond Rating Service (DBRS)" и "Moody's Investors Service" или являющихся членами ОЭСР (ценные бумаги, выпущенные правительствами);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активы (или их часть) с обеспечением, выраженным в национальной валюте Кыргызской Республики, и находящимся на отдельном депозитном счете.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соответствии с </w:t>
      </w:r>
      <w:hyperlink w:history="1" r:id="rIdogftnaqjwap61lg0i5c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убытков", утвержденным </w:t>
      </w:r>
      <w:hyperlink w:history="1" r:id="rIdmb_wwhjz3uiiw5snjfh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№ 18/3 от 21 июля 2004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активы (или их часть) с обеспечением, выраженным в валюте государств, являющихся членами ЕАЭС и ОЭСР, а также государств, имеющих долгосрочный суверенный кредитный рейтинг не ниже уровня "А", присвоенный рейтинговым агентством "Standard &amp; Poor's" или равнозначный рейтинг, присвоенный одним из рейтинговых агентств "Japan Credit Rating Agency (JCR)", "Fitch Ratings", "Dominion Bond Rating Service (DBRS)" и "Moody's Investors Service" и находящимся на отдельном депозитном счете.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Категория 2 (степень кредитного риска - 10%):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активы (или их часть), обеспеченные ценными бумагами по текущей рыночной цене, которые выпущены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активы (или их часть), обеспеченные ценными бумагами по текущей рыночной цене, которые выпушены правительствами государств, имеющих долгосрочный суверенный кредитный рейтинг не ниже уровня "А", присвоенный рейтинговым агентством "Standard &amp; Poor's" или равнозначный рейтинг, присвоенный одним из рейтинговых агентств "Japan Credit Rating Agency (JCR)", "Fitch Ratings", "Dominion Bond Rating Service (DBRS)" и "Moody's Investors Service" или являющихся членами ОЭСР.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Категория 3 (степень кредитного риска - 20%):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денежные активы в расчетах с банками и другими финансово-кредитными организациями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золото и другие сертифицированные драгоценные метилы в стандартных слитках;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денежные активы в расчетах с банками и другими финансово-кредитными организациями государств, имеющих долгосрочный суверенный кредитный рейтинг не ниже уровня "А", присвоенный рейтинговым агентством "Standard &amp; Poor's" или равнозначный рейтинг, присвоенный одним из рейтинговых агентств "Japan Credit Rating Agency (JCR)", "Fitch Ratings", "Dominion Bond Rating Service (DBRS)" и "Moody's Investors Service" или являющихся членами ОЭСР;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требования к банкам и другим финансово-кредитным организациям Кыргызской Республики, и все активы, основанные на гарантиях данных институтов;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требования к банкам и другим финансово-кредитным организациям государств, имеющих долгосрочный суверенный кредитный рейтинг не ниже уровня "А", присвоенный рейтинговым агентством "Standard &amp; Poor's" или равнозначный рейтинг, присвоенный одним из рейтинговых агентств "Japan Credit Rating Agency (JCR)", "Fitch Ratings", "Dominion Bond Rating Service (DBRS)" и "Moody's Investors Service" или являющихся членами ОЭСР, которые не являются аффилированными организациями по отношению к отчитывающемуся банку, и все активы, основанные на гарантиях данных институтов.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Категория 4 (степень кредитного риска - 50%):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кредиты физическим лицам для покупки или строительства жилья на одну семью и гарантированные первыми закладными по такому жилью. К этой категории относятся только такие ссуды, которые выданы лицам, намеревающимся жить в данном доме или квартире, т.е. данное жилье (или его часть) не будет использовано в других целях (продажа, аренда и т.п.).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данные кредиты просрочены свыше 30 дней и/или реструктуризированы, то они указываются в категории 5 со степенью кредитного риска 100%;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золото и другие сертифицированные драгоценные металлы в мерных слитках;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кредиты, выданные коммерческим банком по государственным программам, в том числе за счет собственных средств банков, связанным с финансированием сельского хозяйства и экспортно-ориентированных и импортозамещающих предприятий, а также другим государственным программам, направленным на оказание содействия развитию экономики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данные кредиты просрочены свыше 90 дней и/или повторно реструктуризированы, то они указываются в категории 5 со степенью кредитного риска 100%.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к государственным программам относятся программы, финансируемые частично/полностью из республиканского бюджета или реализуемые через субсидирование процентных ставок из средств республиканского бюджета, включая финансирование, осуществляемое в сотрудничестве с организациями, созданными государством; программы в рамках реализации межгосударственных (межправительственных) проектов согласно международным договорам и соглашениям.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Категория 5 (степень кредитного риска - 100%):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банкноты и монеты, не вошедшие в категорию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требования к правительствам и центральным банкам государств, имеющих долгосрочный суверенный кредитный рейтинг ниже уровня "А", присвоенный рейтинговым агентством "Standard &amp; Poor's" или равнозначный рейтинг, присвоенный одним из рейтинговых агентств "Japan Credit Rating Agency (JCR)", "Fitch Ratings", "Dominion Bond Rating Service (DBRS)" и "Moody's Investors Service" или не являющихся членами ОЭСР (ценные бумаги, выпущенные правительствами этих государств и другие требования);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денежные активы в расчетах с банками и другими финансово-кредитными организациям государств, имеющих долгосрочный суверенный кредитный рейтинг ниже уровня "А", присвоенный рейтинговым агентством "Standard &amp; Poor's" или равнозначный рейтинг, присвоенный одним из рейтинговых агентств "Japan Credit Rating Agency (JCR)", "</w:t>
      </w:r>
      <w:r>
        <w:rPr>
          <w:rFonts w:ascii="Arial" w:cs="Arial" w:eastAsia="Arial" w:hAnsi="Arial"/>
          <w:sz w:val="24"/>
          <w:szCs w:val="24"/>
        </w:rPr>
        <w:t xml:space="preserve">Fitch Ratings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Dominion Bond Rating Service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DBRS</w:t>
      </w:r>
      <w:r>
        <w:rPr>
          <w:rFonts w:ascii="Arial" w:cs="Arial" w:eastAsia="Arial" w:hAnsi="Arial"/>
          <w:sz w:val="24"/>
          <w:szCs w:val="24"/>
        </w:rPr>
        <w:t xml:space="preserve">)" и "</w:t>
      </w:r>
      <w:r>
        <w:rPr>
          <w:rFonts w:ascii="Arial" w:cs="Arial" w:eastAsia="Arial" w:hAnsi="Arial"/>
          <w:sz w:val="24"/>
          <w:szCs w:val="24"/>
        </w:rPr>
        <w:t xml:space="preserve">Moody</w:t>
      </w:r>
      <w:r>
        <w:rPr>
          <w:rFonts w:ascii="Arial" w:cs="Arial" w:eastAsia="Arial" w:hAnsi="Arial"/>
          <w:sz w:val="24"/>
          <w:szCs w:val="24"/>
        </w:rPr>
        <w:t xml:space="preserve">'</w:t>
      </w:r>
      <w:r>
        <w:rPr>
          <w:rFonts w:ascii="Arial" w:cs="Arial" w:eastAsia="Arial" w:hAnsi="Arial"/>
          <w:sz w:val="24"/>
          <w:szCs w:val="24"/>
        </w:rPr>
        <w:t xml:space="preserve">s Investors Service</w:t>
      </w:r>
      <w:r>
        <w:rPr>
          <w:rFonts w:ascii="Arial" w:cs="Arial" w:eastAsia="Arial" w:hAnsi="Arial"/>
          <w:sz w:val="24"/>
          <w:szCs w:val="24"/>
        </w:rPr>
        <w:t xml:space="preserve">" или не являющихся членами ОЭСР;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требования к банкам и другим финансово-кредитным организациям государств, имеющих долгосрочный суверенный кредитный рейтинг не ниже уровня "А", присвоенный рейтинговым агентством "Standard &amp; Poor's" или равнозначный рейтинг, присвоенный одним из рейтинговых агентств "Japan Credit Rating Agency (JCR)", "Fitch Ratings", "Dominion Bond Rating Service (DBRS)" и "Moody's Investors Service" или являющихся членами ОЭСР, которые являются аффилированными организациями по отношению к отчитывающемуся банку;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требования к банкам и другим финансово-кредитным организациям государств, имеющих долгосрочный суверенный кредитный рейтинг ниже уровня "А", присвоенный рейтинговым агентством "Standard &amp; Poor's" или равнозначный рейтинг, присвоенный одним из рейтинговых агентств "Japan Credit Rating Agency (JCR)", "Fitch Ratings", "Dominion Bond Rating Service (DBRS)" и "Moody's Investors Service" или не являющихся членами ОЭСР;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коммерческие, потребительские, ипотечные и прочие кредиты, кроме указанных в категории 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основные средства и прочая собственность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инвестиции и финансовое участие за минусом вычетов, предусмотренных подпунктом "б" пункта 3.9;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все прочие активы, не вошедшие в категории 1, 2, 3, 4, 6 и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Категория 6 (степень кредитного риска - 150%):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коммерческие, потребительские, ипотечные и прочие кредиты в иностранной валюте, за исключением кредитов в валюте государств-членов ЕАЭС, а также кроме указанных в категории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Категория 7 (степень кредитного риска - 200%):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 физическим лицам и индивидуальным предпринимателям в национальной валюте с номинальной годовой ставкой 30% и более на момент выдачи кредитов.";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8.4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"8.4. Банк обязан получить разрешение Национального банка на выплату дивидендов акционерам банка. Документы для получения разрешения Национального банка на выплату дивидендов должны быть представлены в Национальный банк не позднее пяти рабочих дней до проведения общего собрания акционеров банка. К документам должны быть приложены планы банка по срокам выплаты дивидендов и расчеты по соблюдению экономических нормативов, а также индекса "буфер капитала", рассчитанного с учетом планируемой выплаты суммы дивидендов.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наличия угрозы стабильности банка, а также интересам кредиторов и вкладчиков, Национальный банк может запретить либо установить ограничения на выплату дивидендов,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это приведет к нарушению экономических нормативов, установленных Национальным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значения коэффициентов адекватности капитала банка будут ниже минимальных пределов, установленных Национальным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индекс "буфер капитала", после выплаты дивидендов, будет ниже минимальных значений, установленных Национальным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не созданы или созданы в недостаточном размере резервы на покрытие потенциальных потерь и убытков, согласно требованиям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банк имеет непокрытые убытки за предыдущие годы и/или за отчетный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это приведет к ухудшению финансового состояния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в других случаях, предусмотренных законами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не вправе принимать решение о выплате (объявлении) дивидендов по акциям, если на момент принятия решения и выплаты дивидендов он отвечает признакам неплатежеспособности в соответствии с законодательством Кыргызской Республики или указанные признаки появятся у банка в результате выплаты дивидендов.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не вправе принимать решение о выплате (объявлении) дивидендов по простым акциям, если не принято решение о выплате дивидендов по привилегированным акциям.";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5gpqc2d2omfhakpgdtg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2jmb4f3thilm4xd8no-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"Кредиты и лизинги" изложить в следующей редакции: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"Кредиты и лизинги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34"/>
        <w:gridCol w:w="4283"/>
        <w:gridCol w:w="1246"/>
        <w:gridCol w:w="1769"/>
        <w:gridCol w:w="1946"/>
      </w:tblGrid>
      <w:tr>
        <w:tc>
          <w:tcPr>
            <w:tcW w:type="dxa" w:w="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2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Статьи</w:t>
            </w:r>
          </w:p>
        </w:tc>
        <w:tc>
          <w:tcPr>
            <w:tcW w:type="dxa" w:w="1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балансу</w:t>
            </w:r>
          </w:p>
        </w:tc>
        <w:tc>
          <w:tcPr>
            <w:tcW w:type="dxa" w:w="1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Кредитный риск, %</w:t>
            </w:r>
          </w:p>
        </w:tc>
        <w:tc>
          <w:tcPr>
            <w:tcW w:type="dxa" w:w="19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Взвешенное значение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банкам Кыргызской Республики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240.1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240.2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240.3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240.4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240.5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240.6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банкам и финансовым организациям стран СНГ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250.1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250.2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250.3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250.4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250.5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250.6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иностранным банкам и финансовым организациям, кроме стран СНГ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260.1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260.2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260.3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260.4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260.5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260.6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государственному сектору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270.1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270.2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270.3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270.4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270.5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негосударственному сектору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280.1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280.2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280.3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280.4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280.5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280.6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280.7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физическим лицам для личных целей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290.1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290.2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290.3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290.4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290.5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290.6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290.7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Ипотечные кредиты государственному сектору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Ипотечные кредиты негосударственному сектору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310.1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310.2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Ипотечные кредиты физическим лицам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320.1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320.2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320.3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320.4</w:t>
            </w:r>
          </w:p>
        </w:tc>
        <w:tc>
          <w:tcPr>
            <w:tcW w:type="dxa" w:w="4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200%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"Кредиты и лизинги (продолжение)/прочие активы" изложить в следующей редакции: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"Кредиты и лизинги (продолжение)/Прочие активы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6"/>
        <w:gridCol w:w="4585"/>
        <w:gridCol w:w="1221"/>
        <w:gridCol w:w="1705"/>
        <w:gridCol w:w="1870"/>
      </w:tblGrid>
      <w:tr>
        <w:tc>
          <w:tcPr>
            <w:tcW w:type="dxa" w:w="7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5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Статьи</w:t>
            </w:r>
          </w:p>
        </w:tc>
        <w:tc>
          <w:tcPr>
            <w:tcW w:type="dxa" w:w="12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балансу</w:t>
            </w:r>
          </w:p>
        </w:tc>
        <w:tc>
          <w:tcPr>
            <w:tcW w:type="dxa" w:w="17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Кредитный риск, %</w:t>
            </w:r>
          </w:p>
        </w:tc>
        <w:tc>
          <w:tcPr>
            <w:tcW w:type="dxa" w:w="18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Взвешенное значение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на строительство государственному сектору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330.1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330.2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330.3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330.4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330.5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на строительство негосударственному сектору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340.1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340.2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340.3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340.4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340.5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340.6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340.7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на строительство физическим лицам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350.1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350.2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350.3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350.4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350.5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350.6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350.7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на капитальную аренду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360.1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360.2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360.3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360.4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360.5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360.6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360.7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средства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собственность банка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и финансовое участие в неконсолидированных банках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Вычет из капитала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и финансовое участие в неконсолидированных финансовых организациях, кроме банков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Вычет из капитала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и финансовое участие в неконсолидированных нефинансовых учреждениях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Начисленные проценты к получению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420.1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420.2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420.3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420.4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420.5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активы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430.1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Нематериальные активы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Вычет из капитала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430.2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Остальная часть прочих активов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балансовых активов (сумма ст.10-430)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категории 1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категории 2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категории 3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категории 4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категории 5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категории 6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категории 7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200%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вычетов из капитала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"Капитал и коэффициенты адекватности капитала":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890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"890 Инвестиции в неконсолидированные банки, финансово-кредитные организации и небанковские финансово-кредитные организации (ст.200.1-230.1, ст.390, ст.400)";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статьей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"990 Собственный (регулятивный) капитал".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qs5uzlb91-z37kw6jz1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25 августа 2005 года № 26/5 следующие изменение и дополнение: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moyyjaathehujsxowj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банковском отчете", утвержденном вышеуказанным </w:t>
      </w:r>
      <w:hyperlink w:history="1" r:id="rIdznwmnx7thy22zljn2e3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wkh1qa1ixcgiqv1vbb1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15 "Расчет капитала банка":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подразделы 15.3. "Кредиты и лизинги" и 15.4. "Кредиты и лизинги (продолжение)/Прочие активы" изложить в следующей редакции: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"РАЗДЕЛ 15.3
 КРЕДИТЫ И ЛИЗИНГИ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6"/>
        <w:gridCol w:w="4605"/>
        <w:gridCol w:w="1225"/>
        <w:gridCol w:w="1661"/>
        <w:gridCol w:w="1891"/>
      </w:tblGrid>
      <w:tr>
        <w:tc>
          <w:tcPr>
            <w:tcW w:type="dxa" w:w="7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Статьи</w:t>
            </w:r>
          </w:p>
        </w:tc>
        <w:tc>
          <w:tcPr>
            <w:tcW w:type="dxa" w:w="12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балансу</w:t>
            </w:r>
          </w:p>
        </w:tc>
        <w:tc>
          <w:tcPr>
            <w:tcW w:type="dxa" w:w="1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Кредитный риск, %</w:t>
            </w:r>
          </w:p>
        </w:tc>
        <w:tc>
          <w:tcPr>
            <w:tcW w:type="dxa" w:w="1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Взвешенное значение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банкам Кыргызской Республики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240.1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240.2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240.3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240.4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240.5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240.6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банкам и финансовым организациям стран СНГ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250.1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250.2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250.3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250.4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250.5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250.6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иностранным банкам и финансовым организациям, кроме стран СНГ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260.1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260.2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260.3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260.4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260.5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260.6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государственному сектору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270.1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270.2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270.3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270.4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270.5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негосударственному сектору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280.1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280.2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280.3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280.4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280.5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280.6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280.7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физическим лицам для личных целей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290.1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290.2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290.3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290.4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290.5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290.6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290.7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Ипотечные кредиты государственному сектору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Ипотечные кредиты негосударственному сектору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310.1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310.2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Ипотечные кредиты физическим лицам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320.1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320.2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320.3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320.4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200%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Исполнитель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подпись: _______________________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15.4
 КЕДИТЫ И ЛИЗИНГИ (продолжение)/ПРОЧИЕ АКТИВЫ</w:t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6"/>
        <w:gridCol w:w="4081"/>
        <w:gridCol w:w="1299"/>
        <w:gridCol w:w="1899"/>
        <w:gridCol w:w="2103"/>
      </w:tblGrid>
      <w:tr>
        <w:tc>
          <w:tcPr>
            <w:tcW w:type="dxa" w:w="7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Статьи</w:t>
            </w:r>
          </w:p>
        </w:tc>
        <w:tc>
          <w:tcPr>
            <w:tcW w:type="dxa" w:w="12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балансу</w:t>
            </w:r>
          </w:p>
        </w:tc>
        <w:tc>
          <w:tcPr>
            <w:tcW w:type="dxa" w:w="18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Кредитный риск, %</w:t>
            </w:r>
          </w:p>
        </w:tc>
        <w:tc>
          <w:tcPr>
            <w:tcW w:type="dxa" w:w="21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Взвешенное значение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4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на строительство государственному сектору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330.1</w:t>
            </w:r>
          </w:p>
        </w:tc>
        <w:tc>
          <w:tcPr>
            <w:tcW w:type="dxa" w:w="4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330.2</w:t>
            </w:r>
          </w:p>
        </w:tc>
        <w:tc>
          <w:tcPr>
            <w:tcW w:type="dxa" w:w="4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330.3</w:t>
            </w:r>
          </w:p>
        </w:tc>
        <w:tc>
          <w:tcPr>
            <w:tcW w:type="dxa" w:w="4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330.4</w:t>
            </w:r>
          </w:p>
        </w:tc>
        <w:tc>
          <w:tcPr>
            <w:tcW w:type="dxa" w:w="4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330.5</w:t>
            </w:r>
          </w:p>
        </w:tc>
        <w:tc>
          <w:tcPr>
            <w:tcW w:type="dxa" w:w="4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4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на строительство негосударственному сектору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340.1</w:t>
            </w:r>
          </w:p>
        </w:tc>
        <w:tc>
          <w:tcPr>
            <w:tcW w:type="dxa" w:w="4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340.2</w:t>
            </w:r>
          </w:p>
        </w:tc>
        <w:tc>
          <w:tcPr>
            <w:tcW w:type="dxa" w:w="4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340.3</w:t>
            </w:r>
          </w:p>
        </w:tc>
        <w:tc>
          <w:tcPr>
            <w:tcW w:type="dxa" w:w="4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340.4</w:t>
            </w:r>
          </w:p>
        </w:tc>
        <w:tc>
          <w:tcPr>
            <w:tcW w:type="dxa" w:w="4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340.5</w:t>
            </w:r>
          </w:p>
        </w:tc>
        <w:tc>
          <w:tcPr>
            <w:tcW w:type="dxa" w:w="4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340.6</w:t>
            </w:r>
          </w:p>
        </w:tc>
        <w:tc>
          <w:tcPr>
            <w:tcW w:type="dxa" w:w="4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340.7</w:t>
            </w:r>
          </w:p>
        </w:tc>
        <w:tc>
          <w:tcPr>
            <w:tcW w:type="dxa" w:w="4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200%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4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на строительство физическим лицам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350.1</w:t>
            </w:r>
          </w:p>
        </w:tc>
        <w:tc>
          <w:tcPr>
            <w:tcW w:type="dxa" w:w="4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350.2</w:t>
            </w:r>
          </w:p>
        </w:tc>
        <w:tc>
          <w:tcPr>
            <w:tcW w:type="dxa" w:w="4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350.3</w:t>
            </w:r>
          </w:p>
        </w:tc>
        <w:tc>
          <w:tcPr>
            <w:tcW w:type="dxa" w:w="4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350.4</w:t>
            </w:r>
          </w:p>
        </w:tc>
        <w:tc>
          <w:tcPr>
            <w:tcW w:type="dxa" w:w="4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350.5</w:t>
            </w:r>
          </w:p>
        </w:tc>
        <w:tc>
          <w:tcPr>
            <w:tcW w:type="dxa" w:w="4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350.6</w:t>
            </w:r>
          </w:p>
        </w:tc>
        <w:tc>
          <w:tcPr>
            <w:tcW w:type="dxa" w:w="4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350.7</w:t>
            </w:r>
          </w:p>
        </w:tc>
        <w:tc>
          <w:tcPr>
            <w:tcW w:type="dxa" w:w="4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200%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4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 на капитальную аренду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360.1</w:t>
            </w:r>
          </w:p>
        </w:tc>
        <w:tc>
          <w:tcPr>
            <w:tcW w:type="dxa" w:w="4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360.2</w:t>
            </w:r>
          </w:p>
        </w:tc>
        <w:tc>
          <w:tcPr>
            <w:tcW w:type="dxa" w:w="4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360.3</w:t>
            </w:r>
          </w:p>
        </w:tc>
        <w:tc>
          <w:tcPr>
            <w:tcW w:type="dxa" w:w="4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360.4</w:t>
            </w:r>
          </w:p>
        </w:tc>
        <w:tc>
          <w:tcPr>
            <w:tcW w:type="dxa" w:w="4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360.5</w:t>
            </w:r>
          </w:p>
        </w:tc>
        <w:tc>
          <w:tcPr>
            <w:tcW w:type="dxa" w:w="4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360.6</w:t>
            </w:r>
          </w:p>
        </w:tc>
        <w:tc>
          <w:tcPr>
            <w:tcW w:type="dxa" w:w="4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360.7</w:t>
            </w:r>
          </w:p>
        </w:tc>
        <w:tc>
          <w:tcPr>
            <w:tcW w:type="dxa" w:w="4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200%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Исполнитель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подпись: 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5"/>
        <w:gridCol w:w="4002"/>
        <w:gridCol w:w="1384"/>
        <w:gridCol w:w="1852"/>
        <w:gridCol w:w="2095"/>
      </w:tblGrid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средства</w:t>
            </w:r>
          </w:p>
        </w:tc>
        <w:tc>
          <w:tcPr>
            <w:tcW w:type="dxa" w:w="1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2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собственность банка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и финансовое участие в неконсолидированных банках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Вычет из капитала</w:t>
            </w:r>
          </w:p>
        </w:tc>
      </w:tr>
      <w:tr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и финансовое участие в неконсолидированных финансовых организациях, кроме банков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Вычет из капитала</w:t>
            </w:r>
          </w:p>
        </w:tc>
      </w:tr>
      <w:tr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и финансовое участие в неконсолидированных нефинансовых учреждениях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Начисленные проценты к получению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420.1</w:t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420.2</w:t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420.3</w:t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420.4</w:t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420.5</w:t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активы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430.1</w:t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Нематериальные активы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Вычет из капитала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430.2</w:t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Остальная часть прочих активов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балансовых активов (сумма ст.10-430)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категории 1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категории 2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категории 3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категории 4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категории 5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</w:t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категории 6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150%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</w:t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категории 7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200%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вычетов из капитала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Исполнитель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подпись: _______________________";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15.7 "Капитал и коэффициенты адекватности капитала" дополнить статьей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"990 Собственный (регулятивный) капитал".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ghq6iv36gmfcvp7bn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dalil.kg/document/800211</w:t>
      </w:r>
    </w:hyperlink>
  </w:p>
  <w:p>
    <w:pPr>
      <w:spacing w:after="0" w:before="40"/>
      <w:jc w:val="center"/>
    </w:pPr>
    <w:hyperlink w:history="1" r:id="rId1aoh2cuvulag5ixzxf2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h-qwlifyp-uole2mb3y" Type="http://schemas.openxmlformats.org/officeDocument/2006/relationships/hyperlink" Target="https://dalil.kg/document/111486" TargetMode="External"/><Relationship Id="rIdecaxdiwm4rzr0zcwsvqza" Type="http://schemas.openxmlformats.org/officeDocument/2006/relationships/hyperlink" Target="https://dalil.kg/document/800211#p1" TargetMode="External"/><Relationship Id="rIdrg8ydra-31zzihxv21aa5" Type="http://schemas.openxmlformats.org/officeDocument/2006/relationships/hyperlink" Target="https://dalil.kg/document/31369" TargetMode="External"/><Relationship Id="rIdhjsq0uroych0qusqjof6p" Type="http://schemas.openxmlformats.org/officeDocument/2006/relationships/hyperlink" Target="https://dalil.kg/document/31370" TargetMode="External"/><Relationship Id="rIdqflfbkft0gcb3wmllm9-3" Type="http://schemas.openxmlformats.org/officeDocument/2006/relationships/hyperlink" Target="https://dalil.kg/document/300273" TargetMode="External"/><Relationship Id="rIdzpq7kdtilrxneoi5zavcl" Type="http://schemas.openxmlformats.org/officeDocument/2006/relationships/hyperlink" Target="https://dalil.kg/document/31370" TargetMode="External"/><Relationship Id="rIdk4-raa3g4kiqdoypnklbq" Type="http://schemas.openxmlformats.org/officeDocument/2006/relationships/hyperlink" Target="https://dalil.kg/document/31370" TargetMode="External"/><Relationship Id="rIdhdsxiwnotoc0slajptsr-" Type="http://schemas.openxmlformats.org/officeDocument/2006/relationships/hyperlink" Target="https://dalil.kg/document/31369" TargetMode="External"/><Relationship Id="rId4guwpyky3b1qqhcnmn368" Type="http://schemas.openxmlformats.org/officeDocument/2006/relationships/hyperlink" Target="https://dalil.kg/document/31370" TargetMode="External"/><Relationship Id="rIdouwcvyoiofomxtxiosid4" Type="http://schemas.openxmlformats.org/officeDocument/2006/relationships/hyperlink" Target="https://dalil.kg/document/31370" TargetMode="External"/><Relationship Id="rIdxiyzv3sdy236lvji1x4ft" Type="http://schemas.openxmlformats.org/officeDocument/2006/relationships/hyperlink" Target="https://dalil.kg/document/31369" TargetMode="External"/><Relationship Id="rIdogftnaqjwap61lg0i5cus" Type="http://schemas.openxmlformats.org/officeDocument/2006/relationships/hyperlink" Target="https://dalil.kg/document/31372" TargetMode="External"/><Relationship Id="rIdmb_wwhjz3uiiw5snjfh_g" Type="http://schemas.openxmlformats.org/officeDocument/2006/relationships/hyperlink" Target="https://dalil.kg/document/31371" TargetMode="External"/><Relationship Id="rId5gpqc2d2omfhakpgdtghf" Type="http://schemas.openxmlformats.org/officeDocument/2006/relationships/hyperlink" Target="https://dalil.kg/document/31370#p5" TargetMode="External"/><Relationship Id="rId2jmb4f3thilm4xd8no-au" Type="http://schemas.openxmlformats.org/officeDocument/2006/relationships/hyperlink" Target="https://dalil.kg/document/31370" TargetMode="External"/><Relationship Id="rIdqs5uzlb91-z37kw6jz138" Type="http://schemas.openxmlformats.org/officeDocument/2006/relationships/hyperlink" Target="https://dalil.kg/document/300273" TargetMode="External"/><Relationship Id="rIdgmoyyjaathehujsxowju_" Type="http://schemas.openxmlformats.org/officeDocument/2006/relationships/hyperlink" Target="https://dalil.kg/document/300274" TargetMode="External"/><Relationship Id="rIdznwmnx7thy22zljn2e3we" Type="http://schemas.openxmlformats.org/officeDocument/2006/relationships/hyperlink" Target="https://dalil.kg/document/300273" TargetMode="External"/><Relationship Id="rIdwkh1qa1ixcgiqv1vbb13e" Type="http://schemas.openxmlformats.org/officeDocument/2006/relationships/hyperlink" Target="https://dalil.kg/document/300274#p2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ghq6iv36gmfcvp7bnpc" Type="http://schemas.openxmlformats.org/officeDocument/2006/relationships/hyperlink" Target="https://dalil.kg/document/800211" TargetMode="External"/><Relationship Id="rId1aoh2cuvulag5ixzxf2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2026-09-24T12:14:13.941Z</dcterms:created>
  <dcterms:modified xsi:type="dcterms:W3CDTF">2026-09-24T12:14:13.941Z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