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15 апреля 2019 года № 2019-П-12/20-2-(НПА)</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68</w:t>
      </w:r>
      <w:r>
        <w:rPr>
          <w:rFonts w:ascii="Arial" w:cs="Arial" w:eastAsia="Arial" w:hAnsi="Arial"/>
          <w:sz w:val="24"/>
          <w:szCs w:val="24"/>
        </w:rPr>
        <w:t xml:space="preserve"> и </w:t>
      </w:r>
      <w:r>
        <w:rPr>
          <w:rFonts w:ascii="Arial" w:cs="Arial" w:eastAsia="Arial" w:hAnsi="Arial"/>
          <w:sz w:val="24"/>
          <w:szCs w:val="24"/>
        </w:rPr>
        <w:t xml:space="preserve">136</w:t>
      </w:r>
      <w:r>
        <w:rPr>
          <w:rFonts w:ascii="Arial" w:cs="Arial" w:eastAsia="Arial" w:hAnsi="Arial"/>
          <w:sz w:val="24"/>
          <w:szCs w:val="24"/>
        </w:rPr>
        <w:t xml:space="preserve"> </w:t>
      </w:r>
      <w:hyperlink w:history="1" r:id="rIduakoo6bkrpzogkinbdc2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Национальном банке Кыргызской Республики, банках и банковской деятельности"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w:t>
      </w:r>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w:t>
      </w:r>
      <w:r>
        <w:rPr>
          <w:rFonts w:ascii="Arial" w:cs="Arial" w:eastAsia="Arial" w:hAnsi="Arial"/>
          <w:sz w:val="24"/>
          <w:szCs w:val="24"/>
        </w:rPr>
        <w:t xml:space="preserve">от 21 июля 2004 года № 18/1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w:t>
      </w:r>
      <w:r>
        <w:rPr>
          <w:rFonts w:ascii="Arial" w:cs="Arial" w:eastAsia="Arial" w:hAnsi="Arial"/>
          <w:sz w:val="24"/>
          <w:szCs w:val="24"/>
        </w:rPr>
        <w:t xml:space="preserve">от 21 июля 2004 года № 18/2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w:t>
      </w:r>
      <w:r>
        <w:rPr>
          <w:rFonts w:ascii="Arial" w:cs="Arial" w:eastAsia="Arial" w:hAnsi="Arial"/>
          <w:sz w:val="24"/>
          <w:szCs w:val="24"/>
        </w:rPr>
        <w:t xml:space="preserve">21 июля 2004 года № 18/3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3jubprqtisi0ztwyyxsh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w:t>
      </w:r>
      <w:r>
        <w:rPr>
          <w:rFonts w:ascii="Arial" w:cs="Arial" w:eastAsia="Arial" w:hAnsi="Arial"/>
          <w:sz w:val="24"/>
          <w:szCs w:val="24"/>
        </w:rPr>
        <w:t xml:space="preserve">от 27 ноября 2013 года № 45/13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его официального опубликования, действует до 16 июля 2020 года и распространяется только на облигации с ипотечным покрытием, выпущенные ОАО "Государственная Ипотечная Компания" по эмиссии, зарегистрированной 29 июня 2018 года.</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Государственного банка развития Кыргызской Республики, ОЮЛ "Союз банков Кыргызстана", структурных подразделений, областных управлений и представительства Национального банка Кыргызской Республики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Т.Абдыгулов</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15 апреля 2019 года № 2019-П-12/20-2-(НПА)</w:t>
      </w:r>
    </w:p>
    <w:p>
      <w:pPr>
        <w:spacing w:after="120"/>
        <w:jc w:val="both"/>
      </w:pPr>
      <w:r>
        <w:rPr>
          <w:rFonts w:ascii="Arial" w:cs="Arial" w:eastAsia="Arial" w:hAnsi="Arial"/>
          <w:sz w:val="24"/>
          <w:szCs w:val="24"/>
        </w:rPr>
        <w:t xml:space="preserve">ИЗМЕНЕНИЯ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следующее изменение:</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1 пункта 4.2 дополнить абзацем одиннадцатым следующего содержания:</w:t>
      </w:r>
    </w:p>
    <w:p>
      <w:pPr>
        <w:spacing w:after="120"/>
        <w:jc w:val="both"/>
      </w:pPr>
      <w:r>
        <w:rPr>
          <w:rFonts w:ascii="Arial" w:cs="Arial" w:eastAsia="Arial" w:hAnsi="Arial"/>
          <w:sz w:val="24"/>
          <w:szCs w:val="24"/>
        </w:rPr>
        <w:t xml:space="preserve">"- облигации с ипотечным покрытием, выпущенные ОАО "Государственная Ипотечная Компания".</w:t>
      </w:r>
    </w:p>
    <w:p>
      <w:pPr>
        <w:spacing w:after="120"/>
        <w:jc w:val="both"/>
      </w:pPr>
      <w:r>
        <w:rPr>
          <w:rFonts w:ascii="Arial" w:cs="Arial" w:eastAsia="Arial" w:hAnsi="Arial"/>
          <w:sz w:val="24"/>
          <w:szCs w:val="24"/>
        </w:rPr>
        <w:t xml:space="preserve">При этом облигации с ипотечным покрытием, выпущенные ОАО "Государственная ипотечная компания", должны быть классифицированы как "нормальный актив" в соответствии с условиями </w:t>
      </w:r>
      <w:r>
        <w:rPr>
          <w:rFonts w:ascii="Arial" w:cs="Arial" w:eastAsia="Arial" w:hAnsi="Arial"/>
          <w:sz w:val="24"/>
          <w:szCs w:val="24"/>
        </w:rPr>
        <w:t xml:space="preserve">Положения</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21 июля 2004 года № 18/3. Облигации с ипотечным покрытием, выпущенные ОАО "Государственная Ипотечная Компания", классифицированные не в категории "нормальный актив", не включаются в состав ликвидных активов.".</w:t>
      </w:r>
    </w:p>
    <w:p>
      <w:pPr>
        <w:spacing w:after="120"/>
        <w:jc w:val="both"/>
      </w:pPr>
      <w:r>
        <w:rPr>
          <w:rFonts w:ascii="Arial" w:cs="Arial" w:eastAsia="Arial" w:hAnsi="Arial"/>
          <w:sz w:val="24"/>
          <w:szCs w:val="24"/>
        </w:rPr>
        <w:t xml:space="preserve">2.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 следующее изменение:</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1 пункта 4.3 дополнить абзацем "и" следующего содержания:</w:t>
      </w:r>
    </w:p>
    <w:p>
      <w:pPr>
        <w:spacing w:after="120"/>
        <w:jc w:val="both"/>
      </w:pPr>
      <w:r>
        <w:rPr>
          <w:rFonts w:ascii="Arial" w:cs="Arial" w:eastAsia="Arial" w:hAnsi="Arial"/>
          <w:sz w:val="24"/>
          <w:szCs w:val="24"/>
        </w:rPr>
        <w:t xml:space="preserve">"и) облигации с ипотечным покрытием, выпущенные ОАО "Государственная Ипотечная Компания".</w:t>
      </w:r>
    </w:p>
    <w:p>
      <w:pPr>
        <w:spacing w:after="120"/>
        <w:jc w:val="both"/>
      </w:pPr>
      <w:r>
        <w:rPr>
          <w:rFonts w:ascii="Arial" w:cs="Arial" w:eastAsia="Arial" w:hAnsi="Arial"/>
          <w:sz w:val="24"/>
          <w:szCs w:val="24"/>
        </w:rPr>
        <w:t xml:space="preserve">При этом облигации с ипотечным покрытием, выпущенные ОАО "Государственная Ипотечная Компания", должны быть классифицированы как "нормальный актив" в соответствии с условиями </w:t>
      </w:r>
      <w:r>
        <w:rPr>
          <w:rFonts w:ascii="Arial" w:cs="Arial" w:eastAsia="Arial" w:hAnsi="Arial"/>
          <w:sz w:val="24"/>
          <w:szCs w:val="24"/>
        </w:rPr>
        <w:t xml:space="preserve">Положения</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21 июля 2004 года № 18/3";</w:t>
      </w:r>
    </w:p>
    <w:p>
      <w:pPr>
        <w:spacing w:after="120"/>
        <w:jc w:val="both"/>
      </w:pPr>
      <w:r>
        <w:rPr>
          <w:rFonts w:ascii="Arial" w:cs="Arial" w:eastAsia="Arial" w:hAnsi="Arial"/>
          <w:sz w:val="24"/>
          <w:szCs w:val="24"/>
        </w:rPr>
        <w:t xml:space="preserve">- подпункт 4 пункта 4.3 дополнить абзацем "г" следующего содержания:</w:t>
      </w:r>
    </w:p>
    <w:p>
      <w:pPr>
        <w:spacing w:after="120"/>
        <w:jc w:val="both"/>
      </w:pPr>
      <w:r>
        <w:rPr>
          <w:rFonts w:ascii="Arial" w:cs="Arial" w:eastAsia="Arial" w:hAnsi="Arial"/>
          <w:sz w:val="24"/>
          <w:szCs w:val="24"/>
        </w:rPr>
        <w:t xml:space="preserve">"г) облигации с ипотечным покрытием, выпущенные ОАО "Государственная Ипотечная Компания", классифицированные не в категории "нормальный актив" в соответствии с условиями </w:t>
      </w:r>
      <w:r>
        <w:rPr>
          <w:rFonts w:ascii="Arial" w:cs="Arial" w:eastAsia="Arial" w:hAnsi="Arial"/>
          <w:sz w:val="24"/>
          <w:szCs w:val="24"/>
        </w:rPr>
        <w:t xml:space="preserve">Положения</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21 июля 2004 года № 18/3.".</w:t>
      </w:r>
    </w:p>
    <w:p>
      <w:pPr>
        <w:spacing w:after="120"/>
        <w:jc w:val="both"/>
      </w:pPr>
      <w:r>
        <w:rPr>
          <w:rFonts w:ascii="Arial" w:cs="Arial" w:eastAsia="Arial" w:hAnsi="Arial"/>
          <w:sz w:val="24"/>
          <w:szCs w:val="24"/>
        </w:rPr>
        <w:t xml:space="preserve">3.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21 июля 2004 года № 18/3" следующее изменение:</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утвержденное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пунктом 4.1.3 следующего содержания:</w:t>
      </w:r>
    </w:p>
    <w:p>
      <w:pPr>
        <w:spacing w:after="120"/>
        <w:jc w:val="both"/>
      </w:pPr>
      <w:r>
        <w:rPr>
          <w:rFonts w:ascii="Arial" w:cs="Arial" w:eastAsia="Arial" w:hAnsi="Arial"/>
          <w:sz w:val="24"/>
          <w:szCs w:val="24"/>
        </w:rPr>
        <w:t xml:space="preserve">"4.1.3. Банк может классифицировать облигации с ипотечным покрытием, выпущенные ОАО "Государственная Ипотечная Компания" как "нормальный актив" с формированием РППУ в размере 0%.</w:t>
      </w:r>
    </w:p>
    <w:p>
      <w:pPr>
        <w:spacing w:after="120"/>
        <w:jc w:val="both"/>
      </w:pPr>
      <w:r>
        <w:rPr>
          <w:rFonts w:ascii="Arial" w:cs="Arial" w:eastAsia="Arial" w:hAnsi="Arial"/>
          <w:sz w:val="24"/>
          <w:szCs w:val="24"/>
        </w:rPr>
        <w:t xml:space="preserve">При этом должны выполняться следующие условия:</w:t>
      </w:r>
    </w:p>
    <w:p>
      <w:pPr>
        <w:spacing w:after="120"/>
        <w:jc w:val="both"/>
      </w:pPr>
      <w:r>
        <w:rPr>
          <w:rFonts w:ascii="Arial" w:cs="Arial" w:eastAsia="Arial" w:hAnsi="Arial"/>
          <w:sz w:val="24"/>
          <w:szCs w:val="24"/>
        </w:rPr>
        <w:t xml:space="preserve">- банк проводит ежемесячный мониторинг залога ипотечного покрытия для контроля обеспечения покрытия стоимости облигации с ипотечным покрытием в размере не менее 120%;</w:t>
      </w:r>
    </w:p>
    <w:p>
      <w:pPr>
        <w:spacing w:after="120"/>
        <w:jc w:val="both"/>
      </w:pPr>
      <w:r>
        <w:rPr>
          <w:rFonts w:ascii="Arial" w:cs="Arial" w:eastAsia="Arial" w:hAnsi="Arial"/>
          <w:sz w:val="24"/>
          <w:szCs w:val="24"/>
        </w:rPr>
        <w:t xml:space="preserve">- весь актив, входящий в залог ипотечного покрытия, должен быть, как минимум, в категории "удовлетворительный".</w:t>
      </w:r>
    </w:p>
    <w:p>
      <w:pPr>
        <w:spacing w:after="120"/>
        <w:jc w:val="both"/>
      </w:pPr>
      <w:r>
        <w:rPr>
          <w:rFonts w:ascii="Arial" w:cs="Arial" w:eastAsia="Arial" w:hAnsi="Arial"/>
          <w:sz w:val="24"/>
          <w:szCs w:val="24"/>
        </w:rPr>
        <w:t xml:space="preserve">В случае несоответствия залога ипотечного покрытия облигаций с ипотечным покрытием указанным условиям классификация должна осуществляться согласно установленным требованиям Национального банка.".</w:t>
      </w:r>
    </w:p>
    <w:p>
      <w:pPr>
        <w:spacing w:after="120"/>
        <w:jc w:val="both"/>
      </w:pPr>
      <w:r>
        <w:rPr>
          <w:rFonts w:ascii="Arial" w:cs="Arial" w:eastAsia="Arial" w:hAnsi="Arial"/>
          <w:sz w:val="24"/>
          <w:szCs w:val="24"/>
        </w:rPr>
        <w:t xml:space="preserve">4. Внести в </w:t>
      </w:r>
      <w:hyperlink w:history="1" r:id="rId9vcutfv5wpimeoisegf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1x99izmomdnkczd3vfts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от 27 ноября 2013 года № 45/13 следующее изменение:</w:t>
      </w:r>
    </w:p>
    <w:p>
      <w:pPr>
        <w:spacing w:after="120"/>
        <w:jc w:val="both"/>
      </w:pPr>
      <w:r>
        <w:rPr>
          <w:rFonts w:ascii="Arial" w:cs="Arial" w:eastAsia="Arial" w:hAnsi="Arial"/>
          <w:sz w:val="24"/>
          <w:szCs w:val="24"/>
        </w:rPr>
        <w:t xml:space="preserve">в </w:t>
      </w:r>
      <w:hyperlink w:history="1" r:id="rIdwabiqkcwqpu8pwbbzau0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Национальным банком Кыргызской Республики кредитных аукционов для целей рефинансирования и поддержания ликвидности", утвержденном вышеуказанным </w:t>
      </w:r>
      <w:hyperlink w:history="1" r:id="rIdxwqsm_cvgynp12ep6-ux3">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 подпункт 2 пункта 41 изложить в следующей редакции:</w:t>
      </w:r>
    </w:p>
    <w:p>
      <w:pPr>
        <w:spacing w:after="120"/>
        <w:jc w:val="both"/>
      </w:pPr>
      <w:r>
        <w:rPr>
          <w:rFonts w:ascii="Arial" w:cs="Arial" w:eastAsia="Arial" w:hAnsi="Arial"/>
          <w:sz w:val="24"/>
          <w:szCs w:val="24"/>
        </w:rPr>
        <w:t xml:space="preserve">"2) Государственные ценные бумаги Правительства Кыргызской Республики, ноты Национального банка, муниципальные ценные бумаги, выпущенные мэрией города Бишкек, имеющие листинг и котируемые на лицензированной торговой площадке Кыргызской Республики, и облигации с ипотечным покрытием, выпущенные ОАО "Государственная Ипотечная Компания" (далее - ценные бумаги);";</w:t>
      </w:r>
    </w:p>
    <w:p>
      <w:pPr>
        <w:spacing w:after="120"/>
        <w:jc w:val="both"/>
      </w:pPr>
      <w:r>
        <w:rPr>
          <w:rFonts w:ascii="Arial" w:cs="Arial" w:eastAsia="Arial" w:hAnsi="Arial"/>
          <w:sz w:val="24"/>
          <w:szCs w:val="24"/>
        </w:rPr>
        <w:t xml:space="preserve">- </w:t>
      </w:r>
      <w:hyperlink w:history="1" r:id="rIde1p8w59qlmxb70z3wi_x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дополнить </w:t>
      </w:r>
      <w:hyperlink w:history="1" r:id="rIdltqeapx5eyydk-mqukpwg">
        <w:r>
          <w:rPr>
            <w:rFonts w:ascii="Arial" w:cs="Arial" w:eastAsia="Arial" w:hAnsi="Arial"/>
            <w:color w:val="1D4ED8"/>
            <w:sz w:val="24"/>
            <w:szCs w:val="24"/>
            <w:u w:val="single"/>
          </w:rPr>
          <w:t xml:space="preserve">Приложением 9</w:t>
        </w:r>
      </w:hyperlink>
      <w:r>
        <w:rPr>
          <w:rFonts w:ascii="Arial" w:cs="Arial" w:eastAsia="Arial" w:hAnsi="Arial"/>
          <w:sz w:val="24"/>
          <w:szCs w:val="24"/>
        </w:rPr>
        <w:t xml:space="preserve"> к Генеральному соглашению о кредитном аукционе следующего содержания:</w:t>
      </w:r>
    </w:p>
    <w:p>
      <w:pPr>
        <w:spacing w:after="120"/>
        <w:jc w:val="right"/>
      </w:pPr>
      <w:hyperlink w:history="1" r:id="rIdzwz94luaeg2wkpmzi3w0j">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 Генеральному соглашению о кредитном аукционе
 от "___" ______________ 20__ г. № ____</w:t>
      </w:r>
    </w:p>
    <w:p>
      <w:pPr>
        <w:spacing w:after="120"/>
        <w:jc w:val="both"/>
      </w:pPr>
      <w:r>
        <w:rPr>
          <w:rFonts w:ascii="Arial" w:cs="Arial" w:eastAsia="Arial" w:hAnsi="Arial"/>
          <w:sz w:val="24"/>
          <w:szCs w:val="24"/>
        </w:rPr>
        <w:t xml:space="preserve">ДОГОВОР О ЗАЛОГЕ № _____
 к Кредитному договору от "___" ________________ 20__ г. № ______
 (договор залога облигаций с ипотечным покрытием, выпущенных ОАО "Государственная ипотечная компания")</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банк Кыргызской Республики, именуемый в дальнейшем "Национальный банк" или "Залогодержатель", в лице ______________________________, действующего на основании ______________________________, с одной стороны, и ___________________________, именуемое в дальнейшем "Банк" или "Залогодатель", в лице __________________, действующего на основании _________________________, с другой стороны, далее совместно именуемые "Стороны", заключили настоящий Договор о залоге облигаций с ипотечным покрытием, выпущенных ОАО "Государственная Ипотечная Компания" (далее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Залогодержатель предоставил Залогодателю кредит в размере __________________ (сумма прописью) сомов. Окончательный срок погашения кредита и начисленных процентов по нему наступает в сроки, указанные в Кредитном договоре о выдаче кредита от "___" ___________________ года № _______ (далее - Кредитный договор), заключенном в рамках Генерального соглашения от _________________ года № ______ (далее - Генеральное соглашение).</w:t>
      </w:r>
    </w:p>
    <w:p>
      <w:pPr>
        <w:spacing w:after="120"/>
        <w:jc w:val="both"/>
      </w:pPr>
      <w:r>
        <w:rPr>
          <w:rFonts w:ascii="Arial" w:cs="Arial" w:eastAsia="Arial" w:hAnsi="Arial"/>
          <w:sz w:val="24"/>
          <w:szCs w:val="24"/>
        </w:rPr>
        <w:t xml:space="preserve">1.2. В обеспечение выполнения обязательств Залогодателя по Кредитному договору Залогодатель передает Залогодержателю в залог нижеперечисленные облигации с ипотечным покрытием, выпущенные ОАО "Государственная Ипотечная Компания" (далее - ценные бумаги), с указанием общего объема выпущенных облигаций, номинальной стоимости, срока обращения, порядка выплаты доходов: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1702"/>
        <w:gridCol w:w="1063"/>
        <w:gridCol w:w="1242"/>
        <w:gridCol w:w="1336"/>
        <w:gridCol w:w="1566"/>
        <w:gridCol w:w="1598"/>
        <w:gridCol w:w="1120"/>
      </w:tblGrid>
      <w:tr>
        <w:tc>
          <w:tcPr>
            <w:tcW w:type="dxa" w:w="5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r>
              <w:rPr>
                <w:rFonts w:ascii="Arial" w:cs="Arial" w:eastAsia="Arial" w:hAnsi="Arial"/>
                <w:sz w:val="24"/>
                <w:szCs w:val="24"/>
              </w:rPr>
              <w:t xml:space="preserve">
 п/п</w:t>
            </w:r>
          </w:p>
        </w:tc>
        <w:tc>
          <w:tcPr>
            <w:tcW w:type="dxa" w:w="17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выпуска ценных бумаг</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погашения ценных бумаг</w:t>
            </w:r>
          </w:p>
        </w:tc>
        <w:tc>
          <w:tcPr>
            <w:tcW w:type="dxa" w:w="13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ценных бумаг (штук)</w:t>
            </w:r>
          </w:p>
        </w:tc>
        <w:tc>
          <w:tcPr>
            <w:tcW w:type="dxa" w:w="15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цена 1 ценной бумаги (сом)</w:t>
            </w:r>
          </w:p>
        </w:tc>
        <w:tc>
          <w:tcPr>
            <w:tcW w:type="dxa" w:w="1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Номинальная стоимость ценных бумаг (сом)</w:t>
            </w:r>
          </w:p>
        </w:tc>
        <w:tc>
          <w:tcPr>
            <w:tcW w:type="dxa" w:w="11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выплаты доходов</w:t>
            </w:r>
          </w:p>
        </w:tc>
      </w:tr>
      <w:tr>
        <w:tc>
          <w:tcPr>
            <w:tcW w:type="dxa" w:w="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1.3. Настоящий Договор служит обеспечением исполнения обязательств Залогодателя по Кредитному договору и Генеральному соглашению в течение срока его действия.</w:t>
      </w:r>
    </w:p>
    <w:p>
      <w:pPr>
        <w:spacing w:after="120"/>
        <w:jc w:val="both"/>
      </w:pPr>
      <w:r>
        <w:rPr>
          <w:rFonts w:ascii="Arial" w:cs="Arial" w:eastAsia="Arial" w:hAnsi="Arial"/>
          <w:sz w:val="24"/>
          <w:szCs w:val="24"/>
        </w:rPr>
        <w:t xml:space="preserve">1.4. Залогодатель отвечает перед Залогодержателем заложенным имуществом, указанным в пункте 1.2. настоящего Договора, в полном объеме своих обязательств по Кредитному договору и Генеральному соглашению, включая основную сумму кредита, начисленных процентов по нему, штрафных санкций и пени; возмещение издержек и иных расходов (включая судебные издержки), вызванных обращением взыскания на предметы залога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w:t>
      </w:r>
    </w:p>
    <w:p>
      <w:pPr>
        <w:spacing w:after="120"/>
        <w:jc w:val="both"/>
      </w:pPr>
      <w:r>
        <w:rPr>
          <w:rFonts w:ascii="Arial" w:cs="Arial" w:eastAsia="Arial" w:hAnsi="Arial"/>
          <w:sz w:val="24"/>
          <w:szCs w:val="24"/>
        </w:rPr>
        <w:t xml:space="preserve">1.5. Право собственности на заложенные ценные бумаги переходит к Залогодержателю в случае полного или частичного неисполнения Залогодателем своих обязательств перед Залогодержателем в порядке, установленном настоящим Договором, Генеральным соглашением и действующим законодательством Кыргызской Республики.</w:t>
      </w:r>
    </w:p>
    <w:p>
      <w:pPr>
        <w:spacing w:after="120"/>
        <w:jc w:val="both"/>
      </w:pPr>
      <w:r>
        <w:rPr>
          <w:rFonts w:ascii="Arial" w:cs="Arial" w:eastAsia="Arial" w:hAnsi="Arial"/>
          <w:sz w:val="24"/>
          <w:szCs w:val="24"/>
        </w:rPr>
        <w:t xml:space="preserve">1.6. Залогодатель гарантирует, что предоставляемые в залог ценные бумаги, указанные в пункте 1.2. настоящего Договора, не находятся в другом залоге, в споре и под запрещением не состоят, не являются и не будут являться предметом обеспечения других обязательств Залогодателя.</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Залогодатель обязан:</w:t>
      </w:r>
    </w:p>
    <w:p>
      <w:pPr>
        <w:spacing w:after="120"/>
        <w:jc w:val="both"/>
      </w:pPr>
      <w:r>
        <w:rPr>
          <w:rFonts w:ascii="Arial" w:cs="Arial" w:eastAsia="Arial" w:hAnsi="Arial"/>
          <w:sz w:val="24"/>
          <w:szCs w:val="24"/>
        </w:rPr>
        <w:t xml:space="preserve">2.1.1. Исполнить надлежащим образом Кредитный договор, Генеральное соглашение и погасить полностью задолженность перед Залогодержателем.</w:t>
      </w:r>
    </w:p>
    <w:p>
      <w:pPr>
        <w:spacing w:after="120"/>
        <w:jc w:val="both"/>
      </w:pPr>
      <w:r>
        <w:rPr>
          <w:rFonts w:ascii="Arial" w:cs="Arial" w:eastAsia="Arial" w:hAnsi="Arial"/>
          <w:sz w:val="24"/>
          <w:szCs w:val="24"/>
        </w:rPr>
        <w:t xml:space="preserve">2.1.2. Не передавать безвозмездно, не закладывать, не менять ценные бумаги (за исключением случаев, предусмотренных настоящим Договором), а также не распоряжаться заложенными ценными бумагами каким бы то ни было иным образом, без письменного согласия Залогодержателя.</w:t>
      </w:r>
    </w:p>
    <w:p>
      <w:pPr>
        <w:spacing w:after="120"/>
        <w:jc w:val="both"/>
      </w:pPr>
      <w:r>
        <w:rPr>
          <w:rFonts w:ascii="Arial" w:cs="Arial" w:eastAsia="Arial" w:hAnsi="Arial"/>
          <w:sz w:val="24"/>
          <w:szCs w:val="24"/>
        </w:rPr>
        <w:t xml:space="preserve">2.1.3. Извещать Залогодержателя об изменении своего местонахождения и других изменениях в деятельности Залогодателя, способных повлиять на исполнение Залогодателем своих обязательств перед Залогодержателем по настоящему Договору, Кредитному договору и Генеральному соглашению, до дня наступления/начала действия данных изменений.</w:t>
      </w:r>
    </w:p>
    <w:p>
      <w:pPr>
        <w:spacing w:after="120"/>
        <w:jc w:val="both"/>
      </w:pPr>
      <w:r>
        <w:rPr>
          <w:rFonts w:ascii="Arial" w:cs="Arial" w:eastAsia="Arial" w:hAnsi="Arial"/>
          <w:sz w:val="24"/>
          <w:szCs w:val="24"/>
        </w:rPr>
        <w:t xml:space="preserve">2.1.4. Залогодатель гарантирует и дает свое полное согласие на безотлагательное (бесспорное) внесудебное обращение взыскания на ценные бумаги, обеспеченные ипотечным покрытием, в соответствии с условиями настоящего Договора и действующим законодательством Кыргызской Республики в случае неисполнения или ненадлежащего исполнения принятых на себя обязательств по Кредитному договору, Генеральному соглашению и по настоящему Договору.</w:t>
      </w:r>
    </w:p>
    <w:p>
      <w:pPr>
        <w:spacing w:after="120"/>
        <w:jc w:val="both"/>
      </w:pPr>
      <w:r>
        <w:rPr>
          <w:rFonts w:ascii="Arial" w:cs="Arial" w:eastAsia="Arial" w:hAnsi="Arial"/>
          <w:sz w:val="24"/>
          <w:szCs w:val="24"/>
        </w:rPr>
        <w:t xml:space="preserve">2.1.5. В случаях, указанных в настоящем Договоре, Залогодатель обязуется в полном или частичном объеме заменить на ценные бумаги, на муниципальные ценные бумаги, государственные казначейские векселя, государственные казначейские облигации и ноты Национального банка и/или другой приемлемый для Залогодержателя залог, при этом заключив дополнительное соглашение.</w:t>
      </w:r>
    </w:p>
    <w:p>
      <w:pPr>
        <w:spacing w:after="120"/>
        <w:jc w:val="both"/>
      </w:pPr>
      <w:r>
        <w:rPr>
          <w:rFonts w:ascii="Arial" w:cs="Arial" w:eastAsia="Arial" w:hAnsi="Arial"/>
          <w:sz w:val="24"/>
          <w:szCs w:val="24"/>
        </w:rPr>
        <w:t xml:space="preserve">2.1.6. Реестродержатель проводит регистрацию настоящего договора о залоге и последующее запрещение использования данных ценных бумаг, а также осуществляет иные функции, предусмотренные законодательством об ипотечных ценных бумагах.</w:t>
      </w:r>
    </w:p>
    <w:p>
      <w:pPr>
        <w:spacing w:after="120"/>
        <w:jc w:val="both"/>
      </w:pPr>
      <w:r>
        <w:rPr>
          <w:rFonts w:ascii="Arial" w:cs="Arial" w:eastAsia="Arial" w:hAnsi="Arial"/>
          <w:sz w:val="24"/>
          <w:szCs w:val="24"/>
        </w:rPr>
        <w:t xml:space="preserve">2.1.7. Своевременно и надлежащим образом провести все мероприятия, предусмотренные действующим законодательством Кыргызской Республики, необходимые для осуществления регистрации и вступления в силу настоящего Договора.</w:t>
      </w:r>
    </w:p>
    <w:p>
      <w:pPr>
        <w:spacing w:after="120"/>
        <w:jc w:val="both"/>
      </w:pPr>
      <w:r>
        <w:rPr>
          <w:rFonts w:ascii="Arial" w:cs="Arial" w:eastAsia="Arial" w:hAnsi="Arial"/>
          <w:sz w:val="24"/>
          <w:szCs w:val="24"/>
        </w:rPr>
        <w:t xml:space="preserve">2.1.8. Обеспечить (с предварительным письменным уведомлением Залогодержателя) замену ценных бумаг, по которым срок погашения наступает до окончания срока действия Кредитного договора, на другие ценные бумаги (муниципальные ценные бумаги, государственные казначейские векселя, государственные казначейские облигации и ноты Национального банка) с более поздней датой погашения или другой приемлемый для Залогодержателя залог. При этом замену ценных бумаг необходимо осуществить за 20 (двадцать) рабочих дней до наступления даты погашения ценных бумаг соответствующей эмиссии/соответствующих эмиссий.</w:t>
      </w:r>
    </w:p>
    <w:p>
      <w:pPr>
        <w:spacing w:after="120"/>
        <w:jc w:val="both"/>
      </w:pPr>
      <w:r>
        <w:rPr>
          <w:rFonts w:ascii="Arial" w:cs="Arial" w:eastAsia="Arial" w:hAnsi="Arial"/>
          <w:sz w:val="24"/>
          <w:szCs w:val="24"/>
        </w:rPr>
        <w:t xml:space="preserve">2.2. По заложенным ценным бумагам Залогодатель имеет право получать фиксированные проценты от их номинальной стоимости.</w:t>
      </w:r>
    </w:p>
    <w:p>
      <w:pPr>
        <w:spacing w:after="120"/>
        <w:jc w:val="both"/>
      </w:pPr>
      <w:r>
        <w:rPr>
          <w:rFonts w:ascii="Arial" w:cs="Arial" w:eastAsia="Arial" w:hAnsi="Arial"/>
          <w:sz w:val="24"/>
          <w:szCs w:val="24"/>
        </w:rPr>
        <w:t xml:space="preserve">2.3. Последующий залог ценных бумаг, являющихся предметами залога по настоящему Договору, не допускается.</w:t>
      </w:r>
    </w:p>
    <w:p>
      <w:pPr>
        <w:spacing w:after="120"/>
        <w:jc w:val="both"/>
      </w:pPr>
      <w:r>
        <w:rPr>
          <w:rFonts w:ascii="Arial" w:cs="Arial" w:eastAsia="Arial" w:hAnsi="Arial"/>
          <w:sz w:val="24"/>
          <w:szCs w:val="24"/>
        </w:rPr>
        <w:t xml:space="preserve">2.4. Нести риск утраты или уменьшения стоимости Предметов залога и в случае утраты или возникновения иных обстоятельств, повлекших обесценивание ценных бумаг либо несоответствие ценных бумаг категории классификации "нормальные", согласно Положению о классификации активов и соответствующих отчисления в резерв на покрытие потенциальных потерь и убытков, утвержденному постановлением Правления Национального банка Кыргызской Республики от 21 июля 2004 года № 18/3, предоставить с согласия Залогодержателя другое обеспечение, по своей стоимости эквивалентное стоимости ценных бумаг, в сроки, предусмотренные в пункте 4.1 настоящего Договора.</w:t>
      </w:r>
    </w:p>
    <w:p>
      <w:pPr>
        <w:spacing w:after="120"/>
        <w:jc w:val="both"/>
      </w:pPr>
      <w:r>
        <w:rPr>
          <w:rFonts w:ascii="Arial" w:cs="Arial" w:eastAsia="Arial" w:hAnsi="Arial"/>
          <w:sz w:val="24"/>
          <w:szCs w:val="24"/>
        </w:rPr>
        <w:t xml:space="preserve">2.5. Информировать Залогодержателя до 10 (десятого) числа каждого квартала о подтверждении выполнения Залогодателем мероприятий, указанных в п.4.1.3. Положения о классификации активов и соответствующих отчислениях в резерв на покрытие потенциальных потерь и убытков, утвержденного постановлением Правления Национального банка Кыргызской Республики от 21 июля 2004 года № 18/3 и классификации ипотечного покрытия по ценным бумагам с предоставлением отчета согласно Приложению 1.</w:t>
      </w:r>
    </w:p>
    <w:p>
      <w:pPr>
        <w:spacing w:after="120"/>
        <w:jc w:val="both"/>
      </w:pPr>
      <w:r>
        <w:rPr>
          <w:rFonts w:ascii="Arial" w:cs="Arial" w:eastAsia="Arial" w:hAnsi="Arial"/>
          <w:sz w:val="24"/>
          <w:szCs w:val="24"/>
        </w:rPr>
        <w:t xml:space="preserve">2.6. Соблюдать установленные Залогодержателем требования по залоговому обеспечению и в случае отклонения от них предоставить дополнительный залог в срок, указанный в пункте 4.1. настоящего Договора.</w:t>
      </w:r>
    </w:p>
    <w:p>
      <w:pPr>
        <w:spacing w:after="120"/>
        <w:jc w:val="both"/>
      </w:pPr>
      <w:r>
        <w:rPr>
          <w:rFonts w:ascii="Arial" w:cs="Arial" w:eastAsia="Arial" w:hAnsi="Arial"/>
          <w:sz w:val="24"/>
          <w:szCs w:val="24"/>
        </w:rPr>
        <w:t xml:space="preserve">2.7. Залогодатель вправе в любое время до момента реализации Залогодержателем предметов залога, которая может быть осуществлена в соответствии с настоящим Договором, исполнить обеспеченное данным залогом обязательство или ту его часть, исполнение которой просрочено.</w:t>
      </w:r>
    </w:p>
    <w:p>
      <w:pPr>
        <w:spacing w:after="120"/>
        <w:jc w:val="both"/>
      </w:pPr>
      <w:r>
        <w:rPr>
          <w:rFonts w:ascii="Arial" w:cs="Arial" w:eastAsia="Arial" w:hAnsi="Arial"/>
          <w:sz w:val="24"/>
          <w:szCs w:val="24"/>
        </w:rPr>
        <w:t xml:space="preserve">2.8. Залогодержатель имеет право:</w:t>
      </w:r>
    </w:p>
    <w:p>
      <w:pPr>
        <w:spacing w:after="120"/>
        <w:jc w:val="both"/>
      </w:pPr>
      <w:r>
        <w:rPr>
          <w:rFonts w:ascii="Arial" w:cs="Arial" w:eastAsia="Arial" w:hAnsi="Arial"/>
          <w:sz w:val="24"/>
          <w:szCs w:val="24"/>
        </w:rPr>
        <w:t xml:space="preserve">2.8.1. Потребовать от Залогодателя досрочного исполнения обязательств, оговоренных в настоящем Договоре, а если его требование не будет удовлетворено, обратить взыскание на ценные бумаги в следующих случаях:</w:t>
      </w:r>
    </w:p>
    <w:p>
      <w:pPr>
        <w:spacing w:after="120"/>
        <w:jc w:val="both"/>
      </w:pPr>
      <w:r>
        <w:rPr>
          <w:rFonts w:ascii="Arial" w:cs="Arial" w:eastAsia="Arial" w:hAnsi="Arial"/>
          <w:sz w:val="24"/>
          <w:szCs w:val="24"/>
        </w:rPr>
        <w:t xml:space="preserve">1) при нарушении со стороны Залогодателя требований и положений Кредитного договора и Генерального соглашения;</w:t>
      </w:r>
    </w:p>
    <w:p>
      <w:pPr>
        <w:spacing w:after="120"/>
        <w:jc w:val="both"/>
      </w:pPr>
      <w:r>
        <w:rPr>
          <w:rFonts w:ascii="Arial" w:cs="Arial" w:eastAsia="Arial" w:hAnsi="Arial"/>
          <w:sz w:val="24"/>
          <w:szCs w:val="24"/>
        </w:rPr>
        <w:t xml:space="preserve">2) при нарушении Залогодателем правил о последующем залоге, обязанностей по предупреждению Залогодержателя о правах третьих лиц на ценные бумаги;</w:t>
      </w:r>
    </w:p>
    <w:p>
      <w:pPr>
        <w:spacing w:after="120"/>
        <w:jc w:val="both"/>
      </w:pPr>
      <w:r>
        <w:rPr>
          <w:rFonts w:ascii="Arial" w:cs="Arial" w:eastAsia="Arial" w:hAnsi="Arial"/>
          <w:sz w:val="24"/>
          <w:szCs w:val="24"/>
        </w:rPr>
        <w:t xml:space="preserve">3) при неисполнении Залогодателем других требований и положений, предусмотренных настоящим Договором или законодательством Кыргызской Республики.</w:t>
      </w:r>
    </w:p>
    <w:p>
      <w:pPr>
        <w:spacing w:after="120"/>
        <w:jc w:val="both"/>
      </w:pPr>
      <w:r>
        <w:rPr>
          <w:rFonts w:ascii="Arial" w:cs="Arial" w:eastAsia="Arial" w:hAnsi="Arial"/>
          <w:sz w:val="24"/>
          <w:szCs w:val="24"/>
        </w:rPr>
        <w:t xml:space="preserve">2.8.2. В случае, если Залогодатель или третья сторона препятствуют передаче ценных бумаг во владение Залогодержателя, предпринять законные действия, необходимые для получения имущества от Залогодателя или третьей стороны.</w:t>
      </w:r>
    </w:p>
    <w:p>
      <w:pPr>
        <w:spacing w:after="120"/>
        <w:jc w:val="both"/>
      </w:pPr>
      <w:r>
        <w:rPr>
          <w:rFonts w:ascii="Arial" w:cs="Arial" w:eastAsia="Arial" w:hAnsi="Arial"/>
          <w:sz w:val="24"/>
          <w:szCs w:val="24"/>
        </w:rPr>
        <w:t xml:space="preserve">2.8.3. Передать свои права по настоящему Договору третьему лицу.</w:t>
      </w:r>
    </w:p>
    <w:p>
      <w:pPr>
        <w:spacing w:after="120"/>
        <w:jc w:val="both"/>
      </w:pPr>
      <w:r>
        <w:rPr>
          <w:rFonts w:ascii="Arial" w:cs="Arial" w:eastAsia="Arial" w:hAnsi="Arial"/>
          <w:sz w:val="24"/>
          <w:szCs w:val="24"/>
        </w:rPr>
        <w:t xml:space="preserve">2.8.4. Обращение взыскания на ценные бумаги производится во внесудебном порядке в соответствии с законодательством Кыргызской Республики и условиями настоящего Договора, с учетом условий их выпуска (эмиссии).</w:t>
      </w:r>
    </w:p>
    <w:p>
      <w:pPr>
        <w:spacing w:after="120"/>
        <w:jc w:val="both"/>
      </w:pPr>
      <w:r>
        <w:rPr>
          <w:rFonts w:ascii="Arial" w:cs="Arial" w:eastAsia="Arial" w:hAnsi="Arial"/>
          <w:sz w:val="24"/>
          <w:szCs w:val="24"/>
        </w:rPr>
        <w:t xml:space="preserve">2.9. Залогодержатель обязуется возвратить Залогодателю разницу от суммы, превышающей размер обеспеченного залогом требования Залогодержателя. Требования Залогодержателя, которые удовлетворяются из стоимости ценных бумаг, включают в себя: возврат основной суммы кредита, выплату процентов за пользование кредитом, возмещение возможных убытков и неустойки (штрафов, пени) вследствие неисполнения, просрочки исполнения или иного ненадлежащего исполнения основного обязательства, согласно Кредитному договору и Генеральному соглашению; возмещение издержек и иных расходов (включая судебные издержки), вызванных обращением взыскания.</w:t>
      </w:r>
    </w:p>
    <w:p>
      <w:pPr>
        <w:spacing w:after="120"/>
        <w:jc w:val="both"/>
      </w:pPr>
      <w:r>
        <w:rPr>
          <w:rFonts w:ascii="Arial" w:cs="Arial" w:eastAsia="Arial" w:hAnsi="Arial"/>
          <w:sz w:val="24"/>
          <w:szCs w:val="24"/>
        </w:rPr>
        <w:t xml:space="preserve">3. Условия залога</w:t>
      </w:r>
    </w:p>
    <w:p>
      <w:pPr>
        <w:spacing w:after="120"/>
        <w:jc w:val="both"/>
      </w:pPr>
      <w:r>
        <w:rPr>
          <w:rFonts w:ascii="Arial" w:cs="Arial" w:eastAsia="Arial" w:hAnsi="Arial"/>
          <w:sz w:val="24"/>
          <w:szCs w:val="24"/>
        </w:rPr>
        <w:t xml:space="preserve">3.1. Стороны согласились с тем, что при предоставлении в залог ценных бумаг Залогодатель предоставит документ, подтверждающий право на владение ценными бумагами, а также по требованию Залогодержателя - другие документы, предусмотренные законодательством об ипотечных ценных бумагах.</w:t>
      </w:r>
    </w:p>
    <w:p>
      <w:pPr>
        <w:spacing w:after="120"/>
        <w:jc w:val="both"/>
      </w:pPr>
      <w:r>
        <w:rPr>
          <w:rFonts w:ascii="Arial" w:cs="Arial" w:eastAsia="Arial" w:hAnsi="Arial"/>
          <w:sz w:val="24"/>
          <w:szCs w:val="24"/>
        </w:rPr>
        <w:t xml:space="preserve">3.2. По взаимному согласию Сторон заложенные в соответствии с настоящим Договором ценные бумаги могут быть заменены на другие ценные бумаги либо на другие равноценные залоги, указанные в Генеральном соглашении, принадлежащие Залогодателю, с оформлением, по согласованию Сторон, новых договоров о залоге между Залогодержателем и Залогодателем, с их регистрацией в соответствующих государственных органах и оплатой регистрационного сбора. Расходы на регистрацию и оформление при этом несет Залогодатель.</w:t>
      </w:r>
    </w:p>
    <w:p>
      <w:pPr>
        <w:spacing w:after="120"/>
        <w:jc w:val="both"/>
      </w:pPr>
      <w:r>
        <w:rPr>
          <w:rFonts w:ascii="Arial" w:cs="Arial" w:eastAsia="Arial" w:hAnsi="Arial"/>
          <w:sz w:val="24"/>
          <w:szCs w:val="24"/>
        </w:rPr>
        <w:t xml:space="preserve">3.3. В случае неисполнения Залогодателем требований, предусмотренных в пункте 2.1 и других пунктах настоящего Договора, при наступлении сроков погашения ценных бумаг, заложенных в соответствии с настоящим Договором и находящихся на залоговом счете Залогодателя у реестродержателя, который осуществляет хранение и учет ценных бумаг, Стороны уполномочили реестродержателя перечислить сумму номинальной стоимости указанных ценных бумаг со счета Залогодателя на счет Залогодержателя.</w:t>
      </w:r>
    </w:p>
    <w:p>
      <w:pPr>
        <w:spacing w:after="120"/>
        <w:jc w:val="both"/>
      </w:pPr>
      <w:r>
        <w:rPr>
          <w:rFonts w:ascii="Arial" w:cs="Arial" w:eastAsia="Arial" w:hAnsi="Arial"/>
          <w:sz w:val="24"/>
          <w:szCs w:val="24"/>
        </w:rPr>
        <w:t xml:space="preserve">3.4. Стороны согласились, что сборы за регистрацию настоящего Договора, хранение и учет ценных бумаг и другие расходы у реестродержателя, а также любые другие расходы, связанные с исполнением настоящего Договора, оплачивает Залогодатель.</w:t>
      </w:r>
    </w:p>
    <w:p>
      <w:pPr>
        <w:spacing w:after="120"/>
        <w:jc w:val="both"/>
      </w:pPr>
      <w:r>
        <w:rPr>
          <w:rFonts w:ascii="Arial" w:cs="Arial" w:eastAsia="Arial" w:hAnsi="Arial"/>
          <w:sz w:val="24"/>
          <w:szCs w:val="24"/>
        </w:rPr>
        <w:t xml:space="preserve">4. Порядок замены залогового обеспечения</w:t>
      </w:r>
    </w:p>
    <w:p>
      <w:pPr>
        <w:spacing w:after="120"/>
        <w:jc w:val="both"/>
      </w:pPr>
      <w:r>
        <w:rPr>
          <w:rFonts w:ascii="Arial" w:cs="Arial" w:eastAsia="Arial" w:hAnsi="Arial"/>
          <w:sz w:val="24"/>
          <w:szCs w:val="24"/>
        </w:rPr>
        <w:t xml:space="preserve">4.1. В течение срока действия настоящего Договора при выявлении ухудшения классификации ценных бумаг Залогодержатель направляет Залогодателю соответствующее требование-уведомление о необходимости предоставления дополнительного залогового обеспечения.</w:t>
      </w:r>
    </w:p>
    <w:p>
      <w:pPr>
        <w:spacing w:after="120"/>
        <w:jc w:val="both"/>
      </w:pPr>
      <w:r>
        <w:rPr>
          <w:rFonts w:ascii="Arial" w:cs="Arial" w:eastAsia="Arial" w:hAnsi="Arial"/>
          <w:sz w:val="24"/>
          <w:szCs w:val="24"/>
        </w:rPr>
        <w:t xml:space="preserve">Залогодатель в течение 10 (десяти) рабочих дней со дня поступления к нему соответствующего требования-уведомления Залогодержателя о необходимости предоставления дополнительного залогового обеспечения обязуется предоставить Залогодержателю дополнительное залоговое обеспечение и оформить, а также зарегистрировать Договор о предоставлении дополнительного залога в соответствии с пунктом 3.2 Генерального соглашения либо досрочно погасить соответствующую часть кредита, полученного Залогодателем от Залогодержателя, согласно Кредитному договору о предоставлении кредита.</w:t>
      </w:r>
    </w:p>
    <w:p>
      <w:pPr>
        <w:spacing w:after="120"/>
        <w:jc w:val="both"/>
      </w:pPr>
      <w:r>
        <w:rPr>
          <w:rFonts w:ascii="Arial" w:cs="Arial" w:eastAsia="Arial" w:hAnsi="Arial"/>
          <w:sz w:val="24"/>
          <w:szCs w:val="24"/>
        </w:rPr>
        <w:t xml:space="preserve">При этом в случае наличия других видов залога Залогодержатель вправе рассчитать сумму необходимого к предоставлению дополнительного залогового обеспечения с учетом общей стоимости других видов залога (с применением соответствующих залоговых коэффициентов). Залогодержатель вправе не требовать предоставления Залогодателем дополнительного залогового обеспечения в соответствии с абзацем первым настоящего пункта в случае, если другие виды залога (с учетом применяемых Залогодержателем соответствующих залоговых коэффициентов) покрывают текущий остаток задолженности Залогодателя перед Залогодержателем по полученным кредитным средствам, согласно Кредитному договору о предоставлении кредита.</w:t>
      </w:r>
    </w:p>
    <w:p>
      <w:pPr>
        <w:spacing w:after="120"/>
        <w:jc w:val="both"/>
      </w:pPr>
      <w:r>
        <w:rPr>
          <w:rFonts w:ascii="Arial" w:cs="Arial" w:eastAsia="Arial" w:hAnsi="Arial"/>
          <w:sz w:val="24"/>
          <w:szCs w:val="24"/>
        </w:rPr>
        <w:t xml:space="preserve">5. Ответственность Сторон</w:t>
      </w:r>
    </w:p>
    <w:p>
      <w:pPr>
        <w:spacing w:after="120"/>
        <w:jc w:val="both"/>
      </w:pPr>
      <w:r>
        <w:rPr>
          <w:rFonts w:ascii="Arial" w:cs="Arial" w:eastAsia="Arial" w:hAnsi="Arial"/>
          <w:sz w:val="24"/>
          <w:szCs w:val="24"/>
        </w:rPr>
        <w:t xml:space="preserve">5.1. В случае неисполнения или ненадлежащего исполнения обязательств по настоящему Договору Стороны возмещают друг другу все причиненные убытки в соответствии с законодательством Кыргызской Республики.</w:t>
      </w:r>
    </w:p>
    <w:p>
      <w:pPr>
        <w:spacing w:after="120"/>
        <w:jc w:val="both"/>
      </w:pPr>
      <w:r>
        <w:rPr>
          <w:rFonts w:ascii="Arial" w:cs="Arial" w:eastAsia="Arial" w:hAnsi="Arial"/>
          <w:sz w:val="24"/>
          <w:szCs w:val="24"/>
        </w:rPr>
        <w:t xml:space="preserve">5.2. Возмещение убытков и выплата пени не освобождает виновную сторону от выполнения обязательств, предусмотренных настоящим Договором, Кредитным договором и Генеральным соглашением.</w:t>
      </w:r>
    </w:p>
    <w:p>
      <w:pPr>
        <w:spacing w:after="120"/>
        <w:jc w:val="both"/>
      </w:pPr>
      <w:r>
        <w:rPr>
          <w:rFonts w:ascii="Arial" w:cs="Arial" w:eastAsia="Arial" w:hAnsi="Arial"/>
          <w:sz w:val="24"/>
          <w:szCs w:val="24"/>
        </w:rPr>
        <w:t xml:space="preserve">5.3. В случае неисполнения либо ненадлежащего исполнения Залогодателем обязательств, предусмотренных пунктом 2.1 и другими пунктами настоящего Договора, Залогодатель уплачивает Залогодержателю пеню в размере 0,05 процента от номинальной стоимости ценных бумаг, указанных в пункте 1.2 настоящего Договора, за каждый день просрочки (неисполнение своих обязательств).</w:t>
      </w:r>
    </w:p>
    <w:p>
      <w:pPr>
        <w:spacing w:after="120"/>
        <w:jc w:val="both"/>
      </w:pPr>
      <w:r>
        <w:rPr>
          <w:rFonts w:ascii="Arial" w:cs="Arial" w:eastAsia="Arial" w:hAnsi="Arial"/>
          <w:sz w:val="24"/>
          <w:szCs w:val="24"/>
        </w:rPr>
        <w:t xml:space="preserve">6. Порядок обращения взыскания на предметы залога</w:t>
      </w:r>
    </w:p>
    <w:p>
      <w:pPr>
        <w:spacing w:after="120"/>
        <w:jc w:val="both"/>
      </w:pPr>
      <w:r>
        <w:rPr>
          <w:rFonts w:ascii="Arial" w:cs="Arial" w:eastAsia="Arial" w:hAnsi="Arial"/>
          <w:sz w:val="24"/>
          <w:szCs w:val="24"/>
        </w:rPr>
        <w:t xml:space="preserve">6.1. В случае возникновения необходимости обращения взыскания на ценные бумаги, в соответствии с положениями настоящего Договора Стороны пришли к соглашению о том, что обращение взыскания на ценные бумаги будет осуществляться безотлагательно, во внесудебном порядке, в соответствии с условиями настоящего Договора, Генерального соглашения и действующим законодательством Кыргызской Республики.</w:t>
      </w:r>
    </w:p>
    <w:p>
      <w:pPr>
        <w:spacing w:after="120"/>
        <w:jc w:val="both"/>
      </w:pPr>
      <w:r>
        <w:rPr>
          <w:rFonts w:ascii="Arial" w:cs="Arial" w:eastAsia="Arial" w:hAnsi="Arial"/>
          <w:sz w:val="24"/>
          <w:szCs w:val="24"/>
        </w:rPr>
        <w:t xml:space="preserve">7. Прочие условия</w:t>
      </w:r>
    </w:p>
    <w:p>
      <w:pPr>
        <w:spacing w:after="120"/>
        <w:jc w:val="both"/>
      </w:pPr>
      <w:r>
        <w:rPr>
          <w:rFonts w:ascii="Arial" w:cs="Arial" w:eastAsia="Arial" w:hAnsi="Arial"/>
          <w:sz w:val="24"/>
          <w:szCs w:val="24"/>
        </w:rPr>
        <w:t xml:space="preserve">7.1. Настоящий Договор подлежит регистрации в Отделе залоговой регистрации Министерства юстиции Кыргызской Республики и у реестродержателя, вступает в силу с момента его регистрации, действует до полного погашения Залогодателем своих обязательств перед Залогодержателем, в том числе по возврату суммы основного долга по кредиту, начисленных по нему процентов, уплаты штрафа/пени и возмещения других убытков/расходов, причиненных неисполнением или ненадлежащим исполнением Залогодателем своих обязательств по Кредитному договору, Генеральному соглашению и настоящему Договору.</w:t>
      </w:r>
    </w:p>
    <w:p>
      <w:pPr>
        <w:spacing w:after="120"/>
        <w:jc w:val="both"/>
      </w:pPr>
      <w:r>
        <w:rPr>
          <w:rFonts w:ascii="Arial" w:cs="Arial" w:eastAsia="Arial" w:hAnsi="Arial"/>
          <w:sz w:val="24"/>
          <w:szCs w:val="24"/>
        </w:rPr>
        <w:t xml:space="preserve">7.2. Условия настоящего Договора могут быть изменены и дополнены только по взаимному соглашению Сторон.</w:t>
      </w:r>
    </w:p>
    <w:p>
      <w:pPr>
        <w:spacing w:after="120"/>
        <w:jc w:val="both"/>
      </w:pPr>
      <w:r>
        <w:rPr>
          <w:rFonts w:ascii="Arial" w:cs="Arial" w:eastAsia="Arial" w:hAnsi="Arial"/>
          <w:sz w:val="24"/>
          <w:szCs w:val="24"/>
        </w:rPr>
        <w:t xml:space="preserve">7.3. Затраты по оформлению и регистрации настоящего Договора осуществляются за счет Залогодателя. Регистрация настоящего Договора осуществляется Залогодателем.</w:t>
      </w:r>
    </w:p>
    <w:p>
      <w:pPr>
        <w:spacing w:after="120"/>
        <w:jc w:val="both"/>
      </w:pPr>
      <w:r>
        <w:rPr>
          <w:rFonts w:ascii="Arial" w:cs="Arial" w:eastAsia="Arial" w:hAnsi="Arial"/>
          <w:sz w:val="24"/>
          <w:szCs w:val="24"/>
        </w:rPr>
        <w:t xml:space="preserve">7.4. Настоящий Договор вступает в силу с момента регистрации в соответствующих уполномоченных органах в соответствии с пунктом 7.1 настоящего Договора.</w:t>
      </w:r>
    </w:p>
    <w:p>
      <w:pPr>
        <w:spacing w:after="120"/>
        <w:jc w:val="both"/>
      </w:pPr>
      <w:r>
        <w:rPr>
          <w:rFonts w:ascii="Arial" w:cs="Arial" w:eastAsia="Arial" w:hAnsi="Arial"/>
          <w:sz w:val="24"/>
          <w:szCs w:val="24"/>
        </w:rPr>
        <w:t xml:space="preserve">7.5. Настоящий Договор составлен в 5 (пяти) подлинных экземплярах, имеющих одинаковую юридическую силу: 1 (один) экземпляр - для Залогодателя, 1 (один) экземпляр - для хранения в Национальном банке Кыргызской Республики, остальные экземпляры для уполномоченных органов. При наличии требования обязательного предоставления экземпляра в уполномоченный орган, осуществляющий регистрацию залога, составляется дополнительно 1 (один) экземпляр. Все экземпляры имеют одинаковую юридическую силу.</w:t>
      </w:r>
    </w:p>
    <w:p>
      <w:pPr>
        <w:spacing w:after="120"/>
        <w:jc w:val="both"/>
      </w:pPr>
      <w:r>
        <w:rPr>
          <w:rFonts w:ascii="Arial" w:cs="Arial" w:eastAsia="Arial" w:hAnsi="Arial"/>
          <w:sz w:val="24"/>
          <w:szCs w:val="24"/>
        </w:rPr>
        <w:t xml:space="preserve">8. Юридические адреса, реквизиты и подписи Сторон</w:t>
      </w:r>
    </w:p>
    <w:p>
      <w:pPr>
        <w:tabs>
          <w:tab w:val="right" w:pos="10178"/>
        </w:tabs>
        <w:spacing w:after="120"/>
      </w:pPr>
      <w:r>
        <w:rPr>
          <w:rFonts w:ascii="Arial" w:cs="Arial" w:eastAsia="Arial" w:hAnsi="Arial"/>
          <w:sz w:val="24"/>
          <w:szCs w:val="24"/>
        </w:rPr>
        <w:t xml:space="preserve">ЗАЛОГОДЕРЖАТЕЛЬ:</w:t>
      </w:r>
      <w:r>
        <w:rPr>
          <w:rFonts w:ascii="Arial" w:cs="Arial" w:eastAsia="Arial" w:hAnsi="Arial"/>
          <w:sz w:val="24"/>
          <w:szCs w:val="24"/>
        </w:rPr>
        <w:t xml:space="preserve">	</w:t>
      </w:r>
      <w:r>
        <w:rPr>
          <w:rFonts w:ascii="Arial" w:cs="Arial" w:eastAsia="Arial" w:hAnsi="Arial"/>
          <w:sz w:val="24"/>
          <w:szCs w:val="24"/>
        </w:rPr>
        <w:t xml:space="preserve">ЗАЛОГОДАТЕЛЬ:</w:t>
      </w:r>
    </w:p>
    <w:p>
      <w:pPr>
        <w:tabs>
          <w:tab w:val="right" w:pos="10178"/>
        </w:tabs>
        <w:spacing w:after="120"/>
      </w:pPr>
      <w:r>
        <w:rPr>
          <w:rFonts w:ascii="Arial" w:cs="Arial" w:eastAsia="Arial" w:hAnsi="Arial"/>
          <w:sz w:val="24"/>
          <w:szCs w:val="24"/>
        </w:rPr>
        <w:t xml:space="preserve">Национальный банк</w:t>
      </w:r>
      <w:r>
        <w:rPr>
          <w:rFonts w:ascii="Arial" w:cs="Arial" w:eastAsia="Arial" w:hAnsi="Arial"/>
          <w:sz w:val="24"/>
          <w:szCs w:val="24"/>
        </w:rPr>
        <w:t xml:space="preserve">	</w:t>
      </w:r>
      <w:r>
        <w:rPr>
          <w:rFonts w:ascii="Arial" w:cs="Arial" w:eastAsia="Arial" w:hAnsi="Arial"/>
          <w:sz w:val="24"/>
          <w:szCs w:val="24"/>
        </w:rPr>
        <w:t xml:space="preserve">Банк: ОАО/ЗАО "Коммерческий банк"</w:t>
      </w:r>
    </w:p>
    <w:p>
      <w:pPr>
        <w:tabs>
          <w:tab w:val="right" w:pos="10178"/>
        </w:tabs>
        <w:spacing w:after="120"/>
      </w:pPr>
      <w:r>
        <w:rPr>
          <w:rFonts w:ascii="Arial" w:cs="Arial" w:eastAsia="Arial" w:hAnsi="Arial"/>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г.Бишкек, ул. ____________________.</w:t>
      </w:r>
    </w:p>
    <w:p>
      <w:pPr>
        <w:tabs>
          <w:tab w:val="right" w:pos="10178"/>
        </w:tabs>
        <w:spacing w:after="120"/>
      </w:pPr>
      <w:r>
        <w:rPr>
          <w:rFonts w:ascii="Arial" w:cs="Arial" w:eastAsia="Arial" w:hAnsi="Arial"/>
          <w:sz w:val="24"/>
          <w:szCs w:val="24"/>
        </w:rPr>
        <w:t xml:space="preserve">г.Бишкек, пр.Чуй 168</w:t>
      </w:r>
      <w:r>
        <w:rPr>
          <w:rFonts w:ascii="Arial" w:cs="Arial" w:eastAsia="Arial" w:hAnsi="Arial"/>
          <w:sz w:val="24"/>
          <w:szCs w:val="24"/>
        </w:rPr>
        <w:t xml:space="preserve">	</w:t>
      </w:r>
      <w:r>
        <w:rPr>
          <w:rFonts w:ascii="Arial" w:cs="Arial" w:eastAsia="Arial" w:hAnsi="Arial"/>
          <w:sz w:val="24"/>
          <w:szCs w:val="24"/>
        </w:rPr>
        <w:t xml:space="preserve">Корсчет в Национальном банке</w:t>
      </w:r>
    </w:p>
    <w:p>
      <w:pPr>
        <w:spacing w:after="120"/>
        <w:jc w:val="right"/>
      </w:pPr>
      <w:r>
        <w:rPr>
          <w:rFonts w:ascii="Arial" w:cs="Arial" w:eastAsia="Arial" w:hAnsi="Arial"/>
          <w:sz w:val="24"/>
          <w:szCs w:val="24"/>
        </w:rPr>
        <w:t xml:space="preserve">№ 1010126 ______________________</w:t>
      </w:r>
    </w:p>
    <w:p>
      <w:pPr>
        <w:spacing w:after="120"/>
        <w:jc w:val="right"/>
      </w:pPr>
      <w:r>
        <w:rPr>
          <w:rFonts w:ascii="Arial" w:cs="Arial" w:eastAsia="Arial" w:hAnsi="Arial"/>
          <w:sz w:val="24"/>
          <w:szCs w:val="24"/>
        </w:rPr>
        <w:t xml:space="preserve">БИК Национального банка № ______</w:t>
      </w:r>
    </w:p>
    <w:p>
      <w:pPr>
        <w:spacing w:after="120"/>
        <w:jc w:val="right"/>
      </w:pPr>
      <w:r>
        <w:rPr>
          <w:rFonts w:ascii="Arial" w:cs="Arial" w:eastAsia="Arial" w:hAnsi="Arial"/>
          <w:sz w:val="24"/>
          <w:szCs w:val="24"/>
        </w:rPr>
        <w:t xml:space="preserve">ИНН № _________________________</w:t>
      </w:r>
    </w:p>
    <w:p>
      <w:pPr>
        <w:spacing w:after="120"/>
        <w:jc w:val="right"/>
      </w:pPr>
      <w:r>
        <w:rPr>
          <w:rFonts w:ascii="Arial" w:cs="Arial" w:eastAsia="Arial" w:hAnsi="Arial"/>
          <w:sz w:val="24"/>
          <w:szCs w:val="24"/>
        </w:rPr>
        <w:t xml:space="preserve">ОКПО № _______________________</w:t>
      </w:r>
    </w:p>
    <w:p>
      <w:pPr>
        <w:spacing w:after="120"/>
        <w:jc w:val="right"/>
      </w:pPr>
      <w:r>
        <w:rPr>
          <w:rFonts w:ascii="Arial" w:cs="Arial" w:eastAsia="Arial" w:hAnsi="Arial"/>
          <w:sz w:val="24"/>
          <w:szCs w:val="24"/>
        </w:rPr>
        <w:t xml:space="preserve">Код ГНИ: _______________________</w:t>
      </w:r>
    </w:p>
    <w:p>
      <w:pPr>
        <w:tabs>
          <w:tab w:val="right" w:pos="10178"/>
        </w:tabs>
        <w:spacing w:after="120"/>
      </w:pPr>
      <w:r>
        <w:rPr>
          <w:rFonts w:ascii="Arial" w:cs="Arial" w:eastAsia="Arial" w:hAnsi="Arial"/>
          <w:sz w:val="24"/>
          <w:szCs w:val="24"/>
        </w:rPr>
        <w:t xml:space="preserve">Должность _____________________</w:t>
      </w:r>
      <w:r>
        <w:rPr>
          <w:rFonts w:ascii="Arial" w:cs="Arial" w:eastAsia="Arial" w:hAnsi="Arial"/>
          <w:sz w:val="24"/>
          <w:szCs w:val="24"/>
        </w:rPr>
        <w:t xml:space="preserve">	</w:t>
      </w:r>
      <w:r>
        <w:rPr>
          <w:rFonts w:ascii="Arial" w:cs="Arial" w:eastAsia="Arial" w:hAnsi="Arial"/>
          <w:sz w:val="24"/>
          <w:szCs w:val="24"/>
        </w:rPr>
        <w:t xml:space="preserve">Должность ______________________</w:t>
      </w:r>
    </w:p>
    <w:p>
      <w:pPr>
        <w:tabs>
          <w:tab w:val="right" w:pos="10178"/>
        </w:tabs>
        <w:spacing w:after="120"/>
      </w:pPr>
      <w:r>
        <w:rPr>
          <w:rFonts w:ascii="Arial" w:cs="Arial" w:eastAsia="Arial" w:hAnsi="Arial"/>
          <w:sz w:val="24"/>
          <w:szCs w:val="24"/>
        </w:rPr>
        <w:t xml:space="preserve">(подпись) __________________ М.П.</w:t>
      </w:r>
      <w:r>
        <w:rPr>
          <w:rFonts w:ascii="Arial" w:cs="Arial" w:eastAsia="Arial" w:hAnsi="Arial"/>
          <w:sz w:val="24"/>
          <w:szCs w:val="24"/>
        </w:rPr>
        <w:t xml:space="preserve">	</w:t>
      </w:r>
      <w:r>
        <w:rPr>
          <w:rFonts w:ascii="Arial" w:cs="Arial" w:eastAsia="Arial" w:hAnsi="Arial"/>
          <w:sz w:val="24"/>
          <w:szCs w:val="24"/>
        </w:rPr>
        <w:t xml:space="preserve">(подпись) __________________ М.П.</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Договору залога облигаций с ипотечным покрытием, выпущенных ОАО "Государственная Ипотечная Компания"
 от "___" ______________ 20__ г. № 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Ежеквартально до 10 числа следующего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w:t>
      </w:r>
    </w:p>
    <w:p>
      <w:pPr>
        <w:spacing w:after="120"/>
        <w:jc w:val="both"/>
      </w:pPr>
      <w:r>
        <w:rPr>
          <w:rFonts w:ascii="Arial" w:cs="Arial" w:eastAsia="Arial" w:hAnsi="Arial"/>
          <w:sz w:val="24"/>
          <w:szCs w:val="24"/>
        </w:rPr>
        <w:t xml:space="preserve">ОТЧЕТ
 по мониторингу состояния ипотечного покрытия облигаций, выпущенных ОАО "Государственная Ипотечная Компания" (на дату), по кредитному договору № __________ (код аукциона)</w:t>
      </w:r>
    </w:p>
    <w:p>
      <w:pPr>
        <w:spacing w:after="120"/>
        <w:jc w:val="right"/>
      </w:pPr>
      <w:r>
        <w:rPr>
          <w:rFonts w:ascii="Arial" w:cs="Arial" w:eastAsia="Arial" w:hAnsi="Arial"/>
          <w:sz w:val="24"/>
          <w:szCs w:val="24"/>
        </w:rPr>
        <w:t xml:space="preserve">период</w:t>
      </w:r>
    </w:p>
    <w:p>
      <w:pPr>
        <w:spacing w:after="120"/>
        <w:jc w:val="right"/>
      </w:pPr>
      <w:r>
        <w:rPr>
          <w:rFonts w:ascii="Arial" w:cs="Arial" w:eastAsia="Arial" w:hAnsi="Arial"/>
          <w:sz w:val="24"/>
          <w:szCs w:val="24"/>
        </w:rPr>
        <w:t xml:space="preserve">банк</w:t>
      </w:r>
    </w:p>
    <w:p>
      <w:pPr>
        <w:spacing w:after="120"/>
        <w:jc w:val="right"/>
      </w:pPr>
      <w:r>
        <w:rPr>
          <w:rFonts w:ascii="Arial" w:cs="Arial" w:eastAsia="Arial" w:hAnsi="Arial"/>
          <w:sz w:val="24"/>
          <w:szCs w:val="24"/>
        </w:rPr>
        <w:t xml:space="preserve">в сомах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8"/>
        <w:gridCol w:w="958"/>
        <w:gridCol w:w="978"/>
        <w:gridCol w:w="978"/>
        <w:gridCol w:w="976"/>
        <w:gridCol w:w="976"/>
        <w:gridCol w:w="726"/>
        <w:gridCol w:w="726"/>
        <w:gridCol w:w="726"/>
        <w:gridCol w:w="726"/>
        <w:gridCol w:w="726"/>
        <w:gridCol w:w="726"/>
      </w:tblGrid>
      <w:tr>
        <w:tc>
          <w:tcPr>
            <w:tcW w:type="dxa" w:w="191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Первоначальное ипотечное покрытие</w:t>
            </w:r>
          </w:p>
        </w:tc>
        <w:tc>
          <w:tcPr>
            <w:tcW w:type="dxa" w:w="19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Ипотечное покрытие на начало отчетного квартала</w:t>
            </w:r>
          </w:p>
        </w:tc>
        <w:tc>
          <w:tcPr>
            <w:tcW w:type="dxa" w:w="19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Ипотечное покрытие на конец отчетного квартала</w:t>
            </w:r>
          </w:p>
        </w:tc>
        <w:tc>
          <w:tcPr>
            <w:tcW w:type="dxa" w:w="435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ипотечного покрытия на отчетную дату (сом)</w:t>
            </w:r>
          </w:p>
        </w:tc>
      </w:tr>
      <w:tr>
        <w:tc>
          <w:tcPr>
            <w:tcW w:type="dxa" w:w="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субстан.</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сомнит.</w:t>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w:t>
            </w:r>
          </w:p>
        </w:tc>
      </w:tr>
      <w:tr>
        <w:tc>
          <w:tcPr>
            <w:tcW w:type="dxa" w:w="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ФИО руководителя банка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печать.".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9hgjrcb_ygc9vmqdjkq">
      <w:r>
        <w:rPr>
          <w:rFonts w:ascii="Arial" w:cs="Arial" w:eastAsia="Arial" w:hAnsi="Arial"/>
          <w:color w:val="132D3F"/>
          <w:sz w:val="16"/>
          <w:szCs w:val="16"/>
          <w:u w:val="single"/>
        </w:rPr>
        <w:t xml:space="preserve">dalil.kg/document/800256</w:t>
      </w:r>
    </w:hyperlink>
  </w:p>
  <w:p>
    <w:pPr>
      <w:spacing w:after="0" w:before="40"/>
      <w:jc w:val="center"/>
    </w:pPr>
    <w:hyperlink w:history="1" r:id="rIdca_x9q9f5b5lyc6zv7nb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koo6bkrpzogkinbdc2o" Type="http://schemas.openxmlformats.org/officeDocument/2006/relationships/hyperlink" Target="https://dalil.kg/document/111486" TargetMode="External"/><Relationship Id="rId3jubprqtisi0ztwyyxshk" Type="http://schemas.openxmlformats.org/officeDocument/2006/relationships/hyperlink" Target="https://dalil.kg/document/302909" TargetMode="External"/><Relationship Id="rId9vcutfv5wpimeoisegfik" Type="http://schemas.openxmlformats.org/officeDocument/2006/relationships/hyperlink" Target="https://dalil.kg/document/302909" TargetMode="External"/><Relationship Id="rId1x99izmomdnkczd3vfts7" Type="http://schemas.openxmlformats.org/officeDocument/2006/relationships/hyperlink" Target="https://dalil.kg/document/302909" TargetMode="External"/><Relationship Id="rIdwabiqkcwqpu8pwbbzau0r" Type="http://schemas.openxmlformats.org/officeDocument/2006/relationships/hyperlink" Target="https://dalil.kg/document/302909" TargetMode="External"/><Relationship Id="rIdxwqsm_cvgynp12ep6-ux3" Type="http://schemas.openxmlformats.org/officeDocument/2006/relationships/hyperlink" Target="https://dalil.kg/document/302909" TargetMode="External"/><Relationship Id="rIde1p8w59qlmxb70z3wi_x1" Type="http://schemas.openxmlformats.org/officeDocument/2006/relationships/hyperlink" Target="https://dalil.kg/document/302909" TargetMode="External"/><Relationship Id="rIdltqeapx5eyydk-mqukpwg" Type="http://schemas.openxmlformats.org/officeDocument/2006/relationships/hyperlink" Target="https://dalil.kg/document/302909" TargetMode="External"/><Relationship Id="rIdzwz94luaeg2wkpmzi3w0j" Type="http://schemas.openxmlformats.org/officeDocument/2006/relationships/hyperlink" Target="https://dalil.kg/document/30290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9hgjrcb_ygc9vmqdjkq" Type="http://schemas.openxmlformats.org/officeDocument/2006/relationships/hyperlink" Target="https://dalil.kg/document/800256" TargetMode="External"/><Relationship Id="rIdca_x9q9f5b5lyc6zv7nb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2026-09-25T01:14:08.297Z</dcterms:created>
  <dcterms:modified xsi:type="dcterms:W3CDTF">2026-09-25T01:14:08.297Z</dcterms:modified>
</cp:coreProperties>
</file>

<file path=docProps/custom.xml><?xml version="1.0" encoding="utf-8"?>
<Properties xmlns="http://schemas.openxmlformats.org/officeDocument/2006/custom-properties" xmlns:vt="http://schemas.openxmlformats.org/officeDocument/2006/docPropsVTypes"/>
</file>