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28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апреля 2019 года № 2019-П-12/19-3-(НПА)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czj0ukkbtpclb6zpgrn0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w:t>
      </w:r>
      <w:hyperlink w:history="1" r:id="rIdqgwc9f5g_h6jjobh4i9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thwf5simcm5njv9t6xi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w:t>
      </w:r>
    </w:p>
    <w:p>
      <w:pPr>
        <w:spacing w:after="120"/>
        <w:jc w:val="both"/>
      </w:pPr>
      <w:r>
        <w:rPr>
          <w:rFonts w:ascii="Arial" w:cs="Arial" w:eastAsia="Arial" w:hAnsi="Arial"/>
          <w:sz w:val="24"/>
          <w:szCs w:val="24"/>
        </w:rPr>
        <w:t xml:space="preserve">- </w:t>
      </w:r>
      <w:hyperlink w:history="1" r:id="rIdz8s8iffbpkvaq1fwf3-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w:t>
      </w:r>
      <w:hyperlink w:history="1" r:id="rIdb1_-mh5rmo4_fjlr4tv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52xjfaqqfwhxnted-sc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120"/>
        <w:jc w:val="both"/>
      </w:pPr>
      <w:r>
        <w:rPr>
          <w:rFonts w:ascii="Arial" w:cs="Arial" w:eastAsia="Arial" w:hAnsi="Arial"/>
          <w:sz w:val="24"/>
          <w:szCs w:val="24"/>
        </w:rPr>
        <w:t xml:space="preserve">2. Настоящее постановление вступает в силу с 1 мая 2019 года.</w:t>
      </w:r>
    </w:p>
    <w:p>
      <w:pPr>
        <w:spacing w:after="120"/>
        <w:jc w:val="both"/>
      </w:pPr>
      <w:r>
        <w:rPr>
          <w:rFonts w:ascii="Arial" w:cs="Arial" w:eastAsia="Arial" w:hAnsi="Arial"/>
          <w:sz w:val="24"/>
          <w:szCs w:val="24"/>
        </w:rPr>
        <w:t xml:space="preserve">3. Установить для банков, осуществляющих операции в соответствии с исламскими принципами банковского дела и финансирования, исполнение Категории 6 (степень кредитного риска - 150%) пункта 24 Инструкции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в следующие сроки:</w:t>
      </w:r>
    </w:p>
    <w:p>
      <w:pPr>
        <w:spacing w:after="120"/>
        <w:jc w:val="both"/>
      </w:pPr>
      <w:r>
        <w:rPr>
          <w:rFonts w:ascii="Arial" w:cs="Arial" w:eastAsia="Arial" w:hAnsi="Arial"/>
          <w:sz w:val="24"/>
          <w:szCs w:val="24"/>
        </w:rPr>
        <w:t xml:space="preserve">- с 1 июля 2019 до 31 декабря 2019 года - степень кредитного риска 130%;</w:t>
      </w:r>
    </w:p>
    <w:p>
      <w:pPr>
        <w:spacing w:after="120"/>
        <w:jc w:val="both"/>
      </w:pPr>
      <w:r>
        <w:rPr>
          <w:rFonts w:ascii="Arial" w:cs="Arial" w:eastAsia="Arial" w:hAnsi="Arial"/>
          <w:sz w:val="24"/>
          <w:szCs w:val="24"/>
        </w:rPr>
        <w:t xml:space="preserve">- с 1 января 2020 года - степень кредитного риска 150%.</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ОЮЛ "Союз банков Кыргызстана", ОЮЛ "Ассоциация исламских финансов",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10 апреля 2019 года № 2019-П-12/19-3-(НПА)</w:t>
      </w:r>
    </w:p>
    <w:p>
      <w:pPr>
        <w:spacing w:after="120"/>
        <w:jc w:val="center"/>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 </w:t>
      </w:r>
      <w:r>
        <w:rPr>
          <w:rFonts w:ascii="Arial" w:cs="Arial" w:eastAsia="Arial" w:hAnsi="Arial"/>
          <w:sz w:val="24"/>
          <w:szCs w:val="24"/>
        </w:rPr>
        <w:t xml:space="preserve">по определению стандартов достаточности (адекватности) капитала коммерческих банков Кыргызской Республики" от 21 июля 2004 года № 18/2 следующие дополнения: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в разделе "Кредиты и лизинга (продолжение)/прочие активы":</w:t>
      </w:r>
    </w:p>
    <w:p>
      <w:pPr>
        <w:spacing w:after="120"/>
        <w:jc w:val="both"/>
      </w:pPr>
      <w:r>
        <w:rPr>
          <w:rFonts w:ascii="Arial" w:cs="Arial" w:eastAsia="Arial" w:hAnsi="Arial"/>
          <w:sz w:val="24"/>
          <w:szCs w:val="24"/>
        </w:rPr>
        <w:t xml:space="preserve">дополнить статьей 361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7125"/>
        <w:gridCol w:w="806"/>
        <w:gridCol w:w="806"/>
        <w:gridCol w:w="806"/>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";,3000</w:t>
      </w:r>
    </w:p>
    <w:p>
      <w:pPr>
        <w:spacing w:after="120"/>
        <w:jc w:val="both"/>
      </w:pPr>
      <w:r>
        <w:rPr>
          <w:rFonts w:ascii="Arial" w:cs="Arial" w:eastAsia="Arial" w:hAnsi="Arial"/>
          <w:sz w:val="24"/>
          <w:szCs w:val="24"/>
        </w:rPr>
        <w:t xml:space="preserve">статью 420 "Начисленные проценты к получению" дополнить строками 420.6-420.8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5166"/>
        <w:gridCol w:w="1346"/>
        <w:gridCol w:w="1386"/>
        <w:gridCol w:w="1109"/>
      </w:tblGrid>
      <w:tr>
        <w:tc>
          <w:tcPr>
            <w:tcW w:type="dxa" w:w="11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420.6</w:t>
            </w:r>
          </w:p>
        </w:tc>
        <w:tc>
          <w:tcPr>
            <w:tcW w:type="dxa" w:w="51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10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1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420.7</w:t>
            </w:r>
          </w:p>
        </w:tc>
        <w:tc>
          <w:tcPr>
            <w:tcW w:type="dxa" w:w="51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5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ct281gy_2wv--uuw5834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oooavhgmmxaeoksjfeg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дополнения и изменения:</w:t>
      </w:r>
    </w:p>
    <w:p>
      <w:pPr>
        <w:spacing w:after="120"/>
        <w:jc w:val="both"/>
      </w:pPr>
      <w:r>
        <w:rPr>
          <w:rFonts w:ascii="Arial" w:cs="Arial" w:eastAsia="Arial" w:hAnsi="Arial"/>
          <w:sz w:val="24"/>
          <w:szCs w:val="24"/>
        </w:rPr>
        <w:t xml:space="preserve">в </w:t>
      </w:r>
      <w:hyperlink w:history="1" r:id="rIdfsfznsvrnniclhxiai8s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120"/>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120"/>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120"/>
        <w:jc w:val="both"/>
      </w:pPr>
      <w:r>
        <w:rPr>
          <w:rFonts w:ascii="Arial" w:cs="Arial" w:eastAsia="Arial" w:hAnsi="Arial"/>
          <w:sz w:val="24"/>
          <w:szCs w:val="24"/>
        </w:rPr>
        <w:t xml:space="preserve">- пункт 9-3 признать утратившим силу;</w:t>
      </w:r>
    </w:p>
    <w:p>
      <w:pPr>
        <w:spacing w:after="120"/>
        <w:jc w:val="both"/>
      </w:pPr>
      <w:r>
        <w:rPr>
          <w:rFonts w:ascii="Arial" w:cs="Arial" w:eastAsia="Arial" w:hAnsi="Arial"/>
          <w:sz w:val="24"/>
          <w:szCs w:val="24"/>
        </w:rPr>
        <w:t xml:space="preserve">- в абзацах двенадцатом и пятнадцатом подпункта "д" пункта 16 слова "Управления внешнего надзора" заменить словами "соответствующего структурного подразделения";</w:t>
      </w:r>
    </w:p>
    <w:p>
      <w:pPr>
        <w:spacing w:after="120"/>
        <w:jc w:val="both"/>
      </w:pPr>
      <w:r>
        <w:rPr>
          <w:rFonts w:ascii="Arial" w:cs="Arial" w:eastAsia="Arial" w:hAnsi="Arial"/>
          <w:sz w:val="24"/>
          <w:szCs w:val="24"/>
        </w:rPr>
        <w:t xml:space="preserve">- в пункте 22 слово "шесть" заменить словом "семь";</w:t>
      </w:r>
    </w:p>
    <w:p>
      <w:pPr>
        <w:spacing w:after="120"/>
        <w:jc w:val="both"/>
      </w:pPr>
      <w:r>
        <w:rPr>
          <w:rFonts w:ascii="Arial" w:cs="Arial" w:eastAsia="Arial" w:hAnsi="Arial"/>
          <w:sz w:val="24"/>
          <w:szCs w:val="24"/>
        </w:rPr>
        <w:t xml:space="preserve">- в пункте 24:</w:t>
      </w:r>
    </w:p>
    <w:p>
      <w:pPr>
        <w:spacing w:after="120"/>
        <w:jc w:val="both"/>
      </w:pPr>
      <w:r>
        <w:rPr>
          <w:rFonts w:ascii="Arial" w:cs="Arial" w:eastAsia="Arial" w:hAnsi="Arial"/>
          <w:sz w:val="24"/>
          <w:szCs w:val="24"/>
        </w:rPr>
        <w:t xml:space="preserve">подпункт "а" части "Категория 4 (степень кредитного риска - 50%):" изложить в следующей редакции:</w:t>
      </w:r>
    </w:p>
    <w:p>
      <w:pPr>
        <w:spacing w:after="120"/>
        <w:jc w:val="both"/>
      </w:pPr>
      <w:r>
        <w:rPr>
          <w:rFonts w:ascii="Arial" w:cs="Arial" w:eastAsia="Arial" w:hAnsi="Arial"/>
          <w:sz w:val="24"/>
          <w:szCs w:val="24"/>
        </w:rPr>
        <w:t xml:space="preserve">"а) финансирование, предоставленное физическим лицам для покупки или строительства жилья на одну семью и гарантированные первым залогом по такому жилью. К этой категории относятся только такие активы,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120"/>
        <w:jc w:val="both"/>
      </w:pPr>
      <w:r>
        <w:rPr>
          <w:rFonts w:ascii="Arial" w:cs="Arial" w:eastAsia="Arial" w:hAnsi="Arial"/>
          <w:sz w:val="24"/>
          <w:szCs w:val="24"/>
        </w:rPr>
        <w:t xml:space="preserve">В случае, если просрочка по данным активам составляет свыше 30 дней, или они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часть "Категория 4 (степень кредитного риска - 50%):" дополнить подпунктом "в" следующего содержания:</w:t>
      </w:r>
    </w:p>
    <w:p>
      <w:pPr>
        <w:spacing w:after="120"/>
        <w:jc w:val="both"/>
      </w:pPr>
      <w:r>
        <w:rPr>
          <w:rFonts w:ascii="Arial" w:cs="Arial" w:eastAsia="Arial" w:hAnsi="Arial"/>
          <w:sz w:val="24"/>
          <w:szCs w:val="24"/>
        </w:rPr>
        <w:t xml:space="preserve">"в) финансирование, предоставленное коммерческим банком по государственным программам, в том числе за счет собственных средств банка, связанным с финансированием сельского хозяйства и экспортно 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120"/>
        <w:jc w:val="both"/>
      </w:pPr>
      <w:r>
        <w:rPr>
          <w:rFonts w:ascii="Arial" w:cs="Arial" w:eastAsia="Arial" w:hAnsi="Arial"/>
          <w:sz w:val="24"/>
          <w:szCs w:val="24"/>
        </w:rPr>
        <w:t xml:space="preserve">В случае, если просрочка по данным активам составляет свыше 90 дней и/или они повторно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 или полностью из республиканского бюджета или реализуемые через субсидирование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120"/>
        <w:jc w:val="both"/>
      </w:pPr>
      <w:r>
        <w:rPr>
          <w:rFonts w:ascii="Arial" w:cs="Arial" w:eastAsia="Arial" w:hAnsi="Arial"/>
          <w:sz w:val="24"/>
          <w:szCs w:val="24"/>
        </w:rPr>
        <w:t xml:space="preserve">в части "Категория 5 (степень кредитного риска - 100%):":</w:t>
      </w:r>
    </w:p>
    <w:p>
      <w:pPr>
        <w:spacing w:after="120"/>
        <w:jc w:val="both"/>
      </w:pPr>
      <w:r>
        <w:rPr>
          <w:rFonts w:ascii="Arial" w:cs="Arial" w:eastAsia="Arial" w:hAnsi="Arial"/>
          <w:sz w:val="24"/>
          <w:szCs w:val="24"/>
        </w:rPr>
        <w:t xml:space="preserve">первый абзац подпункта "е" изложить в следующей редакции:</w:t>
      </w:r>
    </w:p>
    <w:p>
      <w:pPr>
        <w:spacing w:after="120"/>
        <w:jc w:val="both"/>
      </w:pPr>
      <w:r>
        <w:rPr>
          <w:rFonts w:ascii="Arial" w:cs="Arial" w:eastAsia="Arial" w:hAnsi="Arial"/>
          <w:sz w:val="24"/>
          <w:szCs w:val="24"/>
        </w:rPr>
        <w:t xml:space="preserve">"активы, размещенные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четвертый абзац подпункта "е" изложить в следующей редакции:</w:t>
      </w:r>
    </w:p>
    <w:p>
      <w:pPr>
        <w:spacing w:after="120"/>
        <w:jc w:val="both"/>
      </w:pPr>
      <w:r>
        <w:rPr>
          <w:rFonts w:ascii="Arial" w:cs="Arial" w:eastAsia="Arial" w:hAnsi="Arial"/>
          <w:sz w:val="24"/>
          <w:szCs w:val="24"/>
        </w:rPr>
        <w:t xml:space="preserve">"- другие активы, размещенные в соответствии с исламскими принципами банковского дела и финансирования, не вошедшие в другие категории;";</w:t>
      </w:r>
    </w:p>
    <w:p>
      <w:pPr>
        <w:spacing w:after="120"/>
        <w:jc w:val="both"/>
      </w:pPr>
      <w:r>
        <w:rPr>
          <w:rFonts w:ascii="Arial" w:cs="Arial" w:eastAsia="Arial" w:hAnsi="Arial"/>
          <w:sz w:val="24"/>
          <w:szCs w:val="24"/>
        </w:rPr>
        <w:t xml:space="preserve">часть "Категория 6 (степень кредитного риска - 400%):" изложить в следующей редакции:</w:t>
      </w:r>
    </w:p>
    <w:p>
      <w:pPr>
        <w:spacing w:after="120"/>
        <w:jc w:val="both"/>
      </w:pPr>
      <w:r>
        <w:rPr>
          <w:rFonts w:ascii="Arial" w:cs="Arial" w:eastAsia="Arial" w:hAnsi="Arial"/>
          <w:sz w:val="24"/>
          <w:szCs w:val="24"/>
        </w:rPr>
        <w:t xml:space="preserve">"Категория 6 (степень кредитного риска - 150%):</w:t>
      </w:r>
    </w:p>
    <w:p>
      <w:pPr>
        <w:spacing w:after="120"/>
        <w:jc w:val="both"/>
      </w:pPr>
      <w:r>
        <w:rPr>
          <w:rFonts w:ascii="Arial" w:cs="Arial" w:eastAsia="Arial" w:hAnsi="Arial"/>
          <w:sz w:val="24"/>
          <w:szCs w:val="24"/>
        </w:rPr>
        <w:t xml:space="preserve">- активы, размещенные в соответствии с исламскими принципами банковского дела и финансирования в иностранной валюте, за исключением активов в валюте государств-членов ЕАЭС, а также кроме указанных в категории 4.";</w:t>
      </w:r>
    </w:p>
    <w:p>
      <w:pPr>
        <w:spacing w:after="120"/>
        <w:jc w:val="both"/>
      </w:pPr>
      <w:r>
        <w:rPr>
          <w:rFonts w:ascii="Arial" w:cs="Arial" w:eastAsia="Arial" w:hAnsi="Arial"/>
          <w:sz w:val="24"/>
          <w:szCs w:val="24"/>
        </w:rPr>
        <w:t xml:space="preserve">пункт дополнить частью "Категория 7 (степень кредитного риска - 400%)" следующего содержания:</w:t>
      </w:r>
    </w:p>
    <w:p>
      <w:pPr>
        <w:spacing w:after="120"/>
        <w:jc w:val="both"/>
      </w:pPr>
      <w:r>
        <w:rPr>
          <w:rFonts w:ascii="Arial" w:cs="Arial" w:eastAsia="Arial" w:hAnsi="Arial"/>
          <w:sz w:val="24"/>
          <w:szCs w:val="24"/>
        </w:rPr>
        <w:t xml:space="preserve">"Категория 7 (степень кредитного риска - 400%):</w:t>
      </w:r>
    </w:p>
    <w:p>
      <w:pPr>
        <w:spacing w:after="120"/>
        <w:jc w:val="both"/>
      </w:pPr>
      <w:r>
        <w:rPr>
          <w:rFonts w:ascii="Arial" w:cs="Arial" w:eastAsia="Arial" w:hAnsi="Arial"/>
          <w:sz w:val="24"/>
          <w:szCs w:val="24"/>
        </w:rPr>
        <w:t xml:space="preserve">- активы, размещенные по договорам мудараба, мушарака, за исключением активов, указанных в категориях 1-6.";</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120"/>
        <w:jc w:val="both"/>
      </w:pPr>
      <w:r>
        <w:rPr>
          <w:rFonts w:ascii="Arial" w:cs="Arial" w:eastAsia="Arial" w:hAnsi="Arial"/>
          <w:sz w:val="24"/>
          <w:szCs w:val="24"/>
        </w:rPr>
        <w:t xml:space="preserve">При наличии угрозы стабильности банка Национальный банк может запретить либо установить ограничения на выплату дивидендов, если:</w:t>
      </w:r>
    </w:p>
    <w:p>
      <w:pPr>
        <w:spacing w:after="120"/>
        <w:jc w:val="both"/>
      </w:pPr>
      <w:r>
        <w:rPr>
          <w:rFonts w:ascii="Arial" w:cs="Arial" w:eastAsia="Arial" w:hAnsi="Arial"/>
          <w:sz w:val="24"/>
          <w:szCs w:val="24"/>
        </w:rPr>
        <w:t xml:space="preserve">а) выплата дивидендов приведет к нарушению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б) значения коэффициентов достаточности (адекватности) капитала банка будут ниже минимальных пределов, установленных Национальным банком для данного банка;</w:t>
      </w:r>
    </w:p>
    <w:p>
      <w:pPr>
        <w:spacing w:after="120"/>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120"/>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е) это приведет к ухудшению финансового состояния банка;</w:t>
      </w:r>
    </w:p>
    <w:p>
      <w:pPr>
        <w:spacing w:after="120"/>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120"/>
        <w:jc w:val="both"/>
      </w:pPr>
      <w:r>
        <w:rPr>
          <w:rFonts w:ascii="Arial" w:cs="Arial" w:eastAsia="Arial" w:hAnsi="Arial"/>
          <w:sz w:val="24"/>
          <w:szCs w:val="24"/>
        </w:rPr>
        <w:t xml:space="preserve">3. Внести в </w:t>
      </w:r>
      <w:hyperlink w:history="1" r:id="rIdaddmnvfqe8cturh7whx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120"/>
        <w:jc w:val="both"/>
      </w:pPr>
      <w:r>
        <w:rPr>
          <w:rFonts w:ascii="Arial" w:cs="Arial" w:eastAsia="Arial" w:hAnsi="Arial"/>
          <w:sz w:val="24"/>
          <w:szCs w:val="24"/>
        </w:rPr>
        <w:t xml:space="preserve">в </w:t>
      </w:r>
      <w:hyperlink w:history="1" r:id="rIdiqz2fjcvodveb3dw2sp3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o8cs6ovd-s9zcxep_iv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_qwoeijzpyz9-q5v6dayd">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xnh91us9bqo0-f8iakaen">
        <w:r>
          <w:rPr>
            <w:rFonts w:ascii="Arial" w:cs="Arial" w:eastAsia="Arial" w:hAnsi="Arial"/>
            <w:color w:val="1D4ED8"/>
            <w:sz w:val="24"/>
            <w:szCs w:val="24"/>
            <w:u w:val="single"/>
          </w:rPr>
          <w:t xml:space="preserve">подразделе 15.4</w:t>
        </w:r>
      </w:hyperlink>
      <w:r>
        <w:rPr>
          <w:rFonts w:ascii="Arial" w:cs="Arial" w:eastAsia="Arial" w:hAnsi="Arial"/>
          <w:sz w:val="24"/>
          <w:szCs w:val="24"/>
        </w:rPr>
        <w:t xml:space="preserve">. "Кредиты и лизинга (продолжение)/Прочие активы":</w:t>
      </w:r>
    </w:p>
    <w:p>
      <w:pPr>
        <w:spacing w:after="120"/>
        <w:jc w:val="both"/>
      </w:pPr>
      <w:r>
        <w:rPr>
          <w:rFonts w:ascii="Arial" w:cs="Arial" w:eastAsia="Arial" w:hAnsi="Arial"/>
          <w:sz w:val="24"/>
          <w:szCs w:val="24"/>
        </w:rPr>
        <w:t xml:space="preserve">дополнить статьей 361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660"/>
        <w:gridCol w:w="961"/>
        <w:gridCol w:w="961"/>
        <w:gridCol w:w="961"/>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66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420 "Начисленные проценты к получению" дополнить строками 420.6-420.8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804"/>
        <w:gridCol w:w="1494"/>
        <w:gridCol w:w="1496"/>
        <w:gridCol w:w="1321"/>
      </w:tblGrid>
      <w:tr>
        <w:tc>
          <w:tcPr>
            <w:tcW w:type="dxa" w:w="106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420.6</w:t>
            </w:r>
          </w:p>
        </w:tc>
        <w:tc>
          <w:tcPr>
            <w:tcW w:type="dxa" w:w="480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32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0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420.7</w:t>
            </w:r>
          </w:p>
        </w:tc>
        <w:tc>
          <w:tcPr>
            <w:tcW w:type="dxa" w:w="4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статьей 493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6526"/>
        <w:gridCol w:w="961"/>
        <w:gridCol w:w="961"/>
        <w:gridCol w:w="961"/>
      </w:tblGrid>
      <w:tr>
        <w:tc>
          <w:tcPr>
            <w:tcW w:type="dxa" w:w="7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73yach3lmj94i3gsdj-bn">
        <w:r>
          <w:rPr>
            <w:rFonts w:ascii="Arial" w:cs="Arial" w:eastAsia="Arial" w:hAnsi="Arial"/>
            <w:color w:val="1D4ED8"/>
            <w:sz w:val="24"/>
            <w:szCs w:val="24"/>
            <w:u w:val="single"/>
          </w:rPr>
          <w:t xml:space="preserve">подразделе 15.А</w:t>
        </w:r>
      </w:hyperlink>
      <w:r>
        <w:rPr>
          <w:rFonts w:ascii="Arial" w:cs="Arial" w:eastAsia="Arial" w:hAnsi="Arial"/>
          <w:sz w:val="24"/>
          <w:szCs w:val="24"/>
        </w:rPr>
        <w:t xml:space="preserve">. Активы банка в рамках "исламского окна":</w:t>
      </w:r>
    </w:p>
    <w:p>
      <w:pPr>
        <w:spacing w:after="120"/>
        <w:jc w:val="both"/>
      </w:pPr>
      <w:r>
        <w:rPr>
          <w:rFonts w:ascii="Arial" w:cs="Arial" w:eastAsia="Arial" w:hAnsi="Arial"/>
          <w:sz w:val="24"/>
          <w:szCs w:val="24"/>
        </w:rPr>
        <w:t xml:space="preserve">строку 50.6 статьи 50. "Корреспондентские счета в коммерческих банках стран СНГ" признать утратившей силу;</w:t>
      </w:r>
    </w:p>
    <w:p>
      <w:pPr>
        <w:spacing w:after="120"/>
        <w:jc w:val="both"/>
      </w:pPr>
      <w:r>
        <w:rPr>
          <w:rFonts w:ascii="Arial" w:cs="Arial" w:eastAsia="Arial" w:hAnsi="Arial"/>
          <w:sz w:val="24"/>
          <w:szCs w:val="24"/>
        </w:rPr>
        <w:t xml:space="preserve">строку 60.6 статьи 60. "Корреспондентские счета в иностранных банках, кроме стран СНГ" признать утратившей силу;</w:t>
      </w:r>
    </w:p>
    <w:p>
      <w:pPr>
        <w:spacing w:after="120"/>
        <w:jc w:val="both"/>
      </w:pPr>
      <w:r>
        <w:rPr>
          <w:rFonts w:ascii="Arial" w:cs="Arial" w:eastAsia="Arial" w:hAnsi="Arial"/>
          <w:sz w:val="24"/>
          <w:szCs w:val="24"/>
        </w:rPr>
        <w:t xml:space="preserve">строку 90.6 статьи 90. "Денежные средства на счетах в банках и финансовых организациях стран СНГ" признать утратившей силу;</w:t>
      </w:r>
    </w:p>
    <w:p>
      <w:pPr>
        <w:spacing w:after="120"/>
        <w:jc w:val="both"/>
      </w:pPr>
      <w:r>
        <w:rPr>
          <w:rFonts w:ascii="Arial" w:cs="Arial" w:eastAsia="Arial" w:hAnsi="Arial"/>
          <w:sz w:val="24"/>
          <w:szCs w:val="24"/>
        </w:rPr>
        <w:t xml:space="preserve">строку 100.6 статьи 100. "Денежные средства на счетах в иностранных банках и финансовых организациях, кроме стран СНГ" признать утратившей силу;</w:t>
      </w:r>
    </w:p>
    <w:p>
      <w:pPr>
        <w:spacing w:after="120"/>
        <w:jc w:val="both"/>
      </w:pPr>
      <w:r>
        <w:rPr>
          <w:rFonts w:ascii="Arial" w:cs="Arial" w:eastAsia="Arial" w:hAnsi="Arial"/>
          <w:sz w:val="24"/>
          <w:szCs w:val="24"/>
        </w:rPr>
        <w:t xml:space="preserve">строку 110.6 статьи 110. "Краткосрочные межбанковские размещения до 7 дней" признать утратившей силу;</w:t>
      </w:r>
    </w:p>
    <w:p>
      <w:pPr>
        <w:spacing w:after="120"/>
        <w:jc w:val="both"/>
      </w:pPr>
      <w:r>
        <w:rPr>
          <w:rFonts w:ascii="Arial" w:cs="Arial" w:eastAsia="Arial" w:hAnsi="Arial"/>
          <w:sz w:val="24"/>
          <w:szCs w:val="24"/>
        </w:rPr>
        <w:t xml:space="preserve">строку 120.6 статьи 120. "Операции по РЕПО-соглашениям" признать утратившей силу;</w:t>
      </w:r>
    </w:p>
    <w:p>
      <w:pPr>
        <w:spacing w:after="120"/>
        <w:jc w:val="both"/>
      </w:pPr>
      <w:r>
        <w:rPr>
          <w:rFonts w:ascii="Arial" w:cs="Arial" w:eastAsia="Arial" w:hAnsi="Arial"/>
          <w:sz w:val="24"/>
          <w:szCs w:val="24"/>
        </w:rPr>
        <w:t xml:space="preserve">- в подразделе 15.Б. Портфель ценных бумаг банка в рамках "исламского окна":</w:t>
      </w:r>
    </w:p>
    <w:p>
      <w:pPr>
        <w:spacing w:after="120"/>
        <w:jc w:val="both"/>
      </w:pPr>
      <w:r>
        <w:rPr>
          <w:rFonts w:ascii="Arial" w:cs="Arial" w:eastAsia="Arial" w:hAnsi="Arial"/>
          <w:sz w:val="24"/>
          <w:szCs w:val="24"/>
        </w:rPr>
        <w:t xml:space="preserve">строку 150.6 статьи 150. "Ценные бумаги, выпущенные правительствами стран СНГ" признать утратившей силу;</w:t>
      </w:r>
    </w:p>
    <w:p>
      <w:pPr>
        <w:spacing w:after="120"/>
        <w:jc w:val="both"/>
      </w:pPr>
      <w:r>
        <w:rPr>
          <w:rFonts w:ascii="Arial" w:cs="Arial" w:eastAsia="Arial" w:hAnsi="Arial"/>
          <w:sz w:val="24"/>
          <w:szCs w:val="24"/>
        </w:rPr>
        <w:t xml:space="preserve">строку 160.6 статьи 160. "Ценные бумаги, выпущенные иностранными правительствами стран, кроме Правительства стран СНГ" признать утратившей силу;</w:t>
      </w:r>
    </w:p>
    <w:p>
      <w:pPr>
        <w:spacing w:after="120"/>
        <w:jc w:val="both"/>
      </w:pPr>
      <w:r>
        <w:rPr>
          <w:rFonts w:ascii="Arial" w:cs="Arial" w:eastAsia="Arial" w:hAnsi="Arial"/>
          <w:sz w:val="24"/>
          <w:szCs w:val="24"/>
        </w:rPr>
        <w:t xml:space="preserve">строку 170.6 статьи 170. "Долговые ценные бумаги кыргызских компаний" признать утратившей силу;</w:t>
      </w:r>
    </w:p>
    <w:p>
      <w:pPr>
        <w:spacing w:after="120"/>
        <w:jc w:val="both"/>
      </w:pPr>
      <w:r>
        <w:rPr>
          <w:rFonts w:ascii="Arial" w:cs="Arial" w:eastAsia="Arial" w:hAnsi="Arial"/>
          <w:sz w:val="24"/>
          <w:szCs w:val="24"/>
        </w:rPr>
        <w:t xml:space="preserve">строку 180.6 статьи 180. "Долговые ценные бумаги компаний стран СНГ" признать утратившей силу;</w:t>
      </w:r>
    </w:p>
    <w:p>
      <w:pPr>
        <w:spacing w:after="120"/>
        <w:jc w:val="both"/>
      </w:pPr>
      <w:r>
        <w:rPr>
          <w:rFonts w:ascii="Arial" w:cs="Arial" w:eastAsia="Arial" w:hAnsi="Arial"/>
          <w:sz w:val="24"/>
          <w:szCs w:val="24"/>
        </w:rPr>
        <w:t xml:space="preserve">строку 190.6 статьи 190. "Долговые ценные бумаги иностранных компаний, кроме стран СНГ" признать утратившей силу;</w:t>
      </w:r>
    </w:p>
    <w:p>
      <w:pPr>
        <w:spacing w:after="120"/>
        <w:jc w:val="both"/>
      </w:pPr>
      <w:r>
        <w:rPr>
          <w:rFonts w:ascii="Arial" w:cs="Arial" w:eastAsia="Arial" w:hAnsi="Arial"/>
          <w:sz w:val="24"/>
          <w:szCs w:val="24"/>
        </w:rPr>
        <w:t xml:space="preserve">строку 210.7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220.7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230.7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 в </w:t>
      </w:r>
      <w:hyperlink w:history="1" r:id="rIdu3r4kflif5pra775einha">
        <w:r>
          <w:rPr>
            <w:rFonts w:ascii="Arial" w:cs="Arial" w:eastAsia="Arial" w:hAnsi="Arial"/>
            <w:color w:val="1D4ED8"/>
            <w:sz w:val="24"/>
            <w:szCs w:val="24"/>
            <w:u w:val="single"/>
          </w:rPr>
          <w:t xml:space="preserve">подразделе 15.В</w:t>
        </w:r>
      </w:hyperlink>
      <w:r>
        <w:rPr>
          <w:rFonts w:ascii="Arial" w:cs="Arial" w:eastAsia="Arial" w:hAnsi="Arial"/>
          <w:sz w:val="24"/>
          <w:szCs w:val="24"/>
        </w:rPr>
        <w:t xml:space="preserve">. Финансирование:</w:t>
      </w:r>
    </w:p>
    <w:p>
      <w:pPr>
        <w:spacing w:after="120"/>
        <w:jc w:val="both"/>
      </w:pPr>
      <w:r>
        <w:rPr>
          <w:rFonts w:ascii="Arial" w:cs="Arial" w:eastAsia="Arial" w:hAnsi="Arial"/>
          <w:sz w:val="24"/>
          <w:szCs w:val="24"/>
        </w:rPr>
        <w:t xml:space="preserve">статью 240 "Финансирование, предоставленное банкам Кыргызской Республики" дополнить строкой 240.6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280 "Финансирование, предоставленное негосударственному сектору" дополнить строкой 280.6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290 "Финансирование, предоставленное физическим лицам для личных целей" дополнить строкой 290.6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310 "Финансирование, предоставленное негосударственному сектору для финансирования жилья" дополнить строкой 310.1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320 "Финансирование, предоставленное физическим лицам на покупку жилья" дополнить строкой 320.3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zgre1p-jkzk4yysaoqht2">
        <w:r>
          <w:rPr>
            <w:rFonts w:ascii="Arial" w:cs="Arial" w:eastAsia="Arial" w:hAnsi="Arial"/>
            <w:color w:val="1D4ED8"/>
            <w:sz w:val="24"/>
            <w:szCs w:val="24"/>
            <w:u w:val="single"/>
          </w:rPr>
          <w:t xml:space="preserve">подразделе 15.В.</w:t>
        </w:r>
      </w:hyperlink>
      <w:r>
        <w:rPr>
          <w:rFonts w:ascii="Arial" w:cs="Arial" w:eastAsia="Arial" w:hAnsi="Arial"/>
          <w:sz w:val="24"/>
          <w:szCs w:val="24"/>
        </w:rPr>
        <w:t xml:space="preserve"> Финансирование (продолжение)/прочие активы:</w:t>
      </w:r>
    </w:p>
    <w:p>
      <w:pPr>
        <w:spacing w:after="120"/>
        <w:jc w:val="both"/>
      </w:pPr>
      <w:r>
        <w:rPr>
          <w:rFonts w:ascii="Arial" w:cs="Arial" w:eastAsia="Arial" w:hAnsi="Arial"/>
          <w:sz w:val="24"/>
          <w:szCs w:val="24"/>
        </w:rPr>
        <w:t xml:space="preserve">статью 340 "Финансирование, предоставленное на строительство негосударственному сектору" дополнить строкой 340.6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350 "Финансирование, предоставленное на строительство физическим лицам" дополнить строкой 350.6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360 "Финансирование, предоставленное по договору Иджара" дополнить строкой 360.6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370 "Финансирование, предоставленное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3408"/>
        <w:gridCol w:w="1494"/>
        <w:gridCol w:w="1877"/>
        <w:gridCol w:w="2007"/>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4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370.3</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Внести в </w:t>
      </w:r>
      <w:hyperlink w:history="1" r:id="rId7rhpxsef2affbdgunxt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kmr7hqmxpejktiiux2nz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 и дополнения:</w:t>
      </w:r>
    </w:p>
    <w:p>
      <w:pPr>
        <w:spacing w:after="120"/>
        <w:jc w:val="both"/>
      </w:pPr>
      <w:r>
        <w:rPr>
          <w:rFonts w:ascii="Arial" w:cs="Arial" w:eastAsia="Arial" w:hAnsi="Arial"/>
          <w:sz w:val="24"/>
          <w:szCs w:val="24"/>
        </w:rPr>
        <w:t xml:space="preserve">в </w:t>
      </w:r>
      <w:hyperlink w:history="1" r:id="rIdi8zmdmysohuaafa6rtd7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q8jrfsadmhvpfjjdp7vhf">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в </w:t>
      </w:r>
      <w:hyperlink w:history="1" r:id="rIdp7lrrzrklv4xuh2xidyb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пункты 5, 13, 18 и 22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957"/>
        <w:gridCol w:w="3233"/>
        <w:gridCol w:w="1767"/>
        <w:gridCol w:w="1742"/>
        <w:gridCol w:w="2013"/>
      </w:tblGrid>
      <w:tr>
        <w:tc>
          <w:tcPr>
            <w:tcW w:type="dxa" w:w="4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w:t>
            </w:r>
          </w:p>
        </w:tc>
        <w:tc>
          <w:tcPr>
            <w:tcW w:type="dxa" w:w="323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Балансовый отчет</w:t>
            </w:r>
          </w:p>
          <w:p>
            <w:pPr>
              <w:jc w:val="left"/>
            </w:pPr>
            <w:r>
              <w:rPr>
                <w:rFonts w:ascii="Arial" w:cs="Arial" w:eastAsia="Arial" w:hAnsi="Arial"/>
                <w:sz w:val="24"/>
                <w:szCs w:val="24"/>
              </w:rPr>
              <w:t xml:space="preserve">A. Активы</w:t>
            </w:r>
          </w:p>
          <w:p>
            <w:pPr>
              <w:jc w:val="left"/>
            </w:pPr>
            <w:r>
              <w:rPr>
                <w:rFonts w:ascii="Arial" w:cs="Arial" w:eastAsia="Arial" w:hAnsi="Arial"/>
                <w:sz w:val="24"/>
                <w:szCs w:val="24"/>
              </w:rPr>
              <w:t xml:space="preserve">Б. Обязательства</w:t>
            </w:r>
          </w:p>
          <w:p>
            <w:pPr>
              <w:jc w:val="left"/>
            </w:pPr>
            <w:r>
              <w:rPr>
                <w:rFonts w:ascii="Arial" w:cs="Arial" w:eastAsia="Arial" w:hAnsi="Arial"/>
                <w:sz w:val="24"/>
                <w:szCs w:val="24"/>
              </w:rPr>
              <w:t xml:space="preserve">B. Капитал</w:t>
            </w:r>
          </w:p>
          <w:p>
            <w:pPr>
              <w:jc w:val="left"/>
            </w:pPr>
            <w:r>
              <w:rPr>
                <w:rFonts w:ascii="Arial" w:cs="Arial" w:eastAsia="Arial" w:hAnsi="Arial"/>
                <w:sz w:val="24"/>
                <w:szCs w:val="24"/>
              </w:rPr>
              <w:t xml:space="preserve">Г. Забалансовые обязательства</w:t>
            </w:r>
          </w:p>
        </w:tc>
        <w:tc>
          <w:tcPr>
            <w:tcW w:type="dxa" w:w="176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Расшифровка прочих активов и прочих обязательств банка</w:t>
            </w:r>
          </w:p>
          <w:p>
            <w:pPr>
              <w:jc w:val="left"/>
            </w:pPr>
            <w:r>
              <w:rPr>
                <w:rFonts w:ascii="Arial" w:cs="Arial" w:eastAsia="Arial" w:hAnsi="Arial"/>
                <w:sz w:val="24"/>
                <w:szCs w:val="24"/>
              </w:rPr>
              <w:t xml:space="preserve">Е. Обязательства перед Национальным банком</w:t>
            </w:r>
          </w:p>
          <w:p>
            <w:pPr>
              <w:jc w:val="left"/>
            </w:pPr>
            <w:r>
              <w:rPr>
                <w:rFonts w:ascii="Arial" w:cs="Arial" w:eastAsia="Arial" w:hAnsi="Arial"/>
                <w:sz w:val="24"/>
                <w:szCs w:val="24"/>
              </w:rPr>
              <w:t xml:space="preserve">Ж. Размещение активов банка по страновому признаку</w:t>
            </w:r>
          </w:p>
          <w:p>
            <w:pPr>
              <w:jc w:val="left"/>
            </w:pPr>
            <w:r>
              <w:rPr>
                <w:rFonts w:ascii="Arial" w:cs="Arial" w:eastAsia="Arial" w:hAnsi="Arial"/>
                <w:sz w:val="24"/>
                <w:szCs w:val="24"/>
              </w:rPr>
              <w:t xml:space="preserve">З. Привлечение обязательств банка по страновому признаку</w:t>
            </w:r>
          </w:p>
          <w:p>
            <w:pPr>
              <w:jc w:val="left"/>
            </w:pPr>
            <w:r>
              <w:rPr>
                <w:rFonts w:ascii="Arial" w:cs="Arial" w:eastAsia="Arial" w:hAnsi="Arial"/>
                <w:sz w:val="24"/>
                <w:szCs w:val="24"/>
              </w:rPr>
              <w:t xml:space="preserve">И. Привлечение обязательств банка по страновому признаку (в иностранной валюте)</w:t>
            </w:r>
          </w:p>
          <w:p>
            <w:pPr>
              <w:jc w:val="left"/>
            </w:pPr>
            <w:r>
              <w:rPr>
                <w:rFonts w:ascii="Arial" w:cs="Arial" w:eastAsia="Arial" w:hAnsi="Arial"/>
                <w:sz w:val="24"/>
                <w:szCs w:val="24"/>
              </w:rPr>
              <w:t xml:space="preserve">К. Привлечение капитала по страновому признаку</w:t>
            </w:r>
          </w:p>
          <w:p>
            <w:pPr>
              <w:jc w:val="left"/>
            </w:pPr>
            <w:r>
              <w:rPr>
                <w:rFonts w:ascii="Arial" w:cs="Arial" w:eastAsia="Arial" w:hAnsi="Arial"/>
                <w:sz w:val="24"/>
                <w:szCs w:val="24"/>
              </w:rPr>
              <w:t xml:space="preserve">Л. Объем финансирования по отраслям в разрезе областей Кыргызской Республики</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Классификация предоставленного финансирования по степени риска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 Объем денежных средств (по источникам привлечения) на счетах клиентов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Прочие сведения банка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Информация о базе счетов клиентов</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9</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крупных рисках</w:t>
            </w:r>
          </w:p>
          <w:p>
            <w:pPr>
              <w:jc w:val="left"/>
            </w:pPr>
            <w:r>
              <w:rPr>
                <w:rFonts w:ascii="Arial" w:cs="Arial" w:eastAsia="Arial" w:hAnsi="Arial"/>
                <w:sz w:val="24"/>
                <w:szCs w:val="24"/>
              </w:rPr>
              <w:t xml:space="preserve">А. Сведения о крупных рисках</w:t>
            </w:r>
          </w:p>
          <w:p>
            <w:pPr>
              <w:jc w:val="left"/>
            </w:pPr>
            <w:r>
              <w:rPr>
                <w:rFonts w:ascii="Arial" w:cs="Arial" w:eastAsia="Arial" w:hAnsi="Arial"/>
                <w:sz w:val="24"/>
                <w:szCs w:val="24"/>
              </w:rPr>
              <w:t xml:space="preserve">А-1. Сведения по 15 крупным источниками финансирования, в том числе ФКО и государственные учреждения (Социальный фонд КР и так далее)</w:t>
            </w:r>
          </w:p>
          <w:p>
            <w:pPr>
              <w:jc w:val="left"/>
            </w:pPr>
            <w:r>
              <w:rPr>
                <w:rFonts w:ascii="Arial" w:cs="Arial" w:eastAsia="Arial" w:hAnsi="Arial"/>
                <w:sz w:val="24"/>
                <w:szCs w:val="24"/>
              </w:rPr>
              <w:t xml:space="preserve">Б. Сведения по остаткам денежных средств на корреспондентских счетах</w:t>
            </w:r>
          </w:p>
          <w:p>
            <w:pPr>
              <w:jc w:val="left"/>
            </w:pPr>
            <w:r>
              <w:rPr>
                <w:rFonts w:ascii="Arial" w:cs="Arial" w:eastAsia="Arial" w:hAnsi="Arial"/>
                <w:sz w:val="24"/>
                <w:szCs w:val="24"/>
              </w:rPr>
              <w:t xml:space="preserve">Б-1. Сведения по средствам, размещенным на депозитных счетах</w:t>
            </w:r>
          </w:p>
          <w:p>
            <w:pPr>
              <w:jc w:val="left"/>
            </w:pPr>
            <w:r>
              <w:rPr>
                <w:rFonts w:ascii="Arial" w:cs="Arial" w:eastAsia="Arial" w:hAnsi="Arial"/>
                <w:sz w:val="24"/>
                <w:szCs w:val="24"/>
              </w:rPr>
              <w:t xml:space="preserve">Г. Информация о брокере/дилере/депозитарии, обслуживающем банк</w:t>
            </w:r>
          </w:p>
          <w:p>
            <w:pPr>
              <w:jc w:val="left"/>
            </w:pPr>
            <w:r>
              <w:rPr>
                <w:rFonts w:ascii="Arial" w:cs="Arial" w:eastAsia="Arial" w:hAnsi="Arial"/>
                <w:sz w:val="24"/>
                <w:szCs w:val="24"/>
              </w:rPr>
              <w:t xml:space="preserve">Д. Информация об операциях с корпоративными и государственными ценными бумагами</w:t>
            </w:r>
          </w:p>
          <w:p>
            <w:pPr>
              <w:jc w:val="left"/>
            </w:pPr>
            <w:r>
              <w:rPr>
                <w:rFonts w:ascii="Arial" w:cs="Arial" w:eastAsia="Arial" w:hAnsi="Arial"/>
                <w:sz w:val="24"/>
                <w:szCs w:val="24"/>
              </w:rPr>
              <w:t xml:space="preserve">Е. Портфель корпоративных и государственных ценных бумаг банка</w:t>
            </w:r>
          </w:p>
          <w:p>
            <w:pPr>
              <w:jc w:val="left"/>
            </w:pPr>
            <w:r>
              <w:rPr>
                <w:rFonts w:ascii="Arial" w:cs="Arial" w:eastAsia="Arial" w:hAnsi="Arial"/>
                <w:sz w:val="24"/>
                <w:szCs w:val="24"/>
              </w:rPr>
              <w:t xml:space="preserve">Ж. Портфель корпоративных и государственных ценных бумаг клиентов</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 1 к Инструкции о пределах финансирования, осуществляемого в соответствии с исламскими принципами банковского дела и финансирования. Приложение № 2 к Инструкции о пределах финансирования, осуществляемого в соответствии с исламскими принципами банковского дела и финансирования</w:t>
            </w:r>
          </w:p>
        </w:tc>
      </w:tr>
      <w:tr>
        <w:tc>
          <w:tcPr>
            <w:tcW w:type="dxa" w:w="10178"/>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14</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 и поддержке дополнительного запаса капитала банка (индекс "буфер капитала")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 1 Положения об экономических нормативах и требованиях, обязательных для выполнения коммерческими банками Кыргызской Республики</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Ежедневный отчет о соблюдении норматива максимального размера риска на одного заемщика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Отчет о соблюдении экономического норматива достаточности (адекватности) капитала и норматива (показателя) ликвидности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Ежедневный отчет о соблюдении норматива максимального размера риска по срочным счетам и прочим обязательствам перед физическими лицами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Отчет о соблюдении норматива максимального размера риска по счетам до востребования физических лиц</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Отчет о выполнении требований Национального банка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Отчет о соблюдении норматива (показателя) краткосрочной ликвидности (К3.2)</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в первый рабочий день недели, следующей за отчетной неделей</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Ежедневный отчет о соблюдении норматива (показателя) мгновенной ликвидности (К3.3)</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Информация об объеме финансирования, предоставленного членам ГСО</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18</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сведения</w:t>
            </w:r>
          </w:p>
          <w:p>
            <w:pPr>
              <w:jc w:val="left"/>
            </w:pPr>
            <w:r>
              <w:rPr>
                <w:rFonts w:ascii="Arial" w:cs="Arial" w:eastAsia="Arial" w:hAnsi="Arial"/>
                <w:sz w:val="24"/>
                <w:szCs w:val="24"/>
              </w:rPr>
              <w:t xml:space="preserve">A. Среднее значение активов и обязательств за месяц</w:t>
            </w:r>
          </w:p>
          <w:p>
            <w:pPr>
              <w:jc w:val="left"/>
            </w:pPr>
            <w:r>
              <w:rPr>
                <w:rFonts w:ascii="Arial" w:cs="Arial" w:eastAsia="Arial" w:hAnsi="Arial"/>
                <w:sz w:val="24"/>
                <w:szCs w:val="24"/>
              </w:rPr>
              <w:t xml:space="preserve">Б. Прочие сведения о деятельности банка</w:t>
            </w:r>
          </w:p>
          <w:p>
            <w:pPr>
              <w:jc w:val="left"/>
            </w:pPr>
            <w:r>
              <w:rPr>
                <w:rFonts w:ascii="Arial" w:cs="Arial" w:eastAsia="Arial" w:hAnsi="Arial"/>
                <w:sz w:val="24"/>
                <w:szCs w:val="24"/>
              </w:rPr>
              <w:t xml:space="preserve">B. О персонале банка</w:t>
            </w:r>
          </w:p>
          <w:p>
            <w:pPr>
              <w:jc w:val="left"/>
            </w:pPr>
            <w:r>
              <w:rPr>
                <w:rFonts w:ascii="Arial" w:cs="Arial" w:eastAsia="Arial" w:hAnsi="Arial"/>
                <w:sz w:val="24"/>
                <w:szCs w:val="24"/>
              </w:rPr>
              <w:t xml:space="preserve">Г. Сведения по клиентам с наибольшими оборотами по счетам</w:t>
            </w:r>
          </w:p>
          <w:p>
            <w:pPr>
              <w:jc w:val="left"/>
            </w:pPr>
            <w:r>
              <w:rPr>
                <w:rFonts w:ascii="Arial" w:cs="Arial" w:eastAsia="Arial" w:hAnsi="Arial"/>
                <w:sz w:val="24"/>
                <w:szCs w:val="24"/>
              </w:rPr>
              <w:t xml:space="preserve">Д. Сведения о количестве и сумме сообщений в СФР</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Информация по прочей собственности (недвижимое имущество), принятой коммерческими банками на баланс в счет погашения задолженности по проблемным кредитам</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Сведения по остаткам денежных средств на счетах государственных предприятий, хозяйствующих субъектов с государственной долей участия, органов государственной власти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Информация по максимальной и минимальной наценке по действующему финансированию и депозитам, включая установленные на индивидуальной основе</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Информация о риск-событиях банка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cp6mpumkrousdcd61lb4e">
        <w:r>
          <w:rPr>
            <w:rFonts w:ascii="Arial" w:cs="Arial" w:eastAsia="Arial" w:hAnsi="Arial"/>
            <w:color w:val="1D4ED8"/>
            <w:sz w:val="24"/>
            <w:szCs w:val="24"/>
            <w:u w:val="single"/>
          </w:rPr>
          <w:t xml:space="preserve">Приложении 2:</w:t>
        </w:r>
      </w:hyperlink>
    </w:p>
    <w:p>
      <w:pPr>
        <w:spacing w:after="120"/>
        <w:jc w:val="both"/>
      </w:pPr>
      <w:r>
        <w:rPr>
          <w:rFonts w:ascii="Arial" w:cs="Arial" w:eastAsia="Arial" w:hAnsi="Arial"/>
          <w:sz w:val="24"/>
          <w:szCs w:val="24"/>
        </w:rPr>
        <w:t xml:space="preserve">- раздел 1.А. "Балансовый отчет" дополнить подразделом "П. Информация о базе счетов клиентов" следующего содержания:</w:t>
      </w:r>
    </w:p>
    <w:p>
      <w:pPr>
        <w:spacing w:after="120"/>
        <w:jc w:val="both"/>
      </w:pPr>
      <w:r>
        <w:rPr>
          <w:rFonts w:ascii="Arial" w:cs="Arial" w:eastAsia="Arial" w:hAnsi="Arial"/>
          <w:sz w:val="24"/>
          <w:szCs w:val="24"/>
        </w:rPr>
        <w:t xml:space="preserve">"П. Информация о базе счетов клиентов</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9"/>
        <w:gridCol w:w="1520"/>
        <w:gridCol w:w="1520"/>
      </w:tblGrid>
      <w:tr>
        <w:tc>
          <w:tcPr>
            <w:tcW w:type="dxa" w:w="71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30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Депозиты физических лиц,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Депозиты юридических лиц (кроме ИП),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Депозиты индивидуальных предпринимателей,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Страховые депозиты системы денежных переводов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разделы 9.А-1. "Сведения по 15 крупным источниками финансирования, в том числе ФКО и государственные учреждения (Социальный фонд КР и так далее)", 9.Б. "Информация о банках-корреспондентах" и Б-1. "Сведения по остаткам денежных средств на корреспондентских счетах по состоянию на отчетную дату)", изложить в следующей редакции:</w:t>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РАЗДЕЛ 9.А-1. СВЕДЕНИЯ ПО 15 КРУПНЫМ ИСТОЧНИКАМ ФИНАНСИРОВАНИЯ, в том числе ФКО и государственные учреждения (Социальный Фонд КР и т.д.)</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565"/>
        <w:gridCol w:w="845"/>
        <w:gridCol w:w="754"/>
        <w:gridCol w:w="754"/>
        <w:gridCol w:w="754"/>
        <w:gridCol w:w="754"/>
        <w:gridCol w:w="635"/>
        <w:gridCol w:w="910"/>
        <w:gridCol w:w="916"/>
        <w:gridCol w:w="924"/>
        <w:gridCol w:w="1083"/>
      </w:tblGrid>
      <w:tr>
        <w:tc>
          <w:tcPr>
            <w:tcW w:type="dxa" w:w="2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вкладчика*/кредитора</w:t>
            </w:r>
          </w:p>
        </w:tc>
        <w:tc>
          <w:tcPr>
            <w:tcW w:type="dxa" w:w="8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вкладчика/
 кредитора</w:t>
            </w:r>
          </w:p>
        </w:tc>
        <w:tc>
          <w:tcPr>
            <w:tcW w:type="dxa" w:w="30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предоставленного финансирования/депозита**</w:t>
            </w:r>
          </w:p>
        </w:tc>
        <w:tc>
          <w:tcPr>
            <w:tcW w:type="dxa" w:w="6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Наценка/
 Норма доходности</w:t>
            </w:r>
          </w:p>
        </w:tc>
        <w:tc>
          <w:tcPr>
            <w:tcW w:type="dxa" w:w="9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9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10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(обременение,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
 рование</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срочный депозит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 до востре-
 бования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обязательств по 15 крупным источникам финансирования</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22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депозиты, выступающие обеспечением по финансированию, не включаются в данную таблицу;</w:t>
      </w:r>
    </w:p>
    <w:p>
      <w:pPr>
        <w:spacing w:after="120"/>
        <w:jc w:val="both"/>
      </w:pPr>
      <w:r>
        <w:rPr>
          <w:rFonts w:ascii="Arial" w:cs="Arial" w:eastAsia="Arial" w:hAnsi="Arial"/>
          <w:sz w:val="24"/>
          <w:szCs w:val="24"/>
        </w:rPr>
        <w:t xml:space="preserve">** указывается остаток по финансированию или депозиту (по депозитам - в разбивке на до востребования, расчетный и срочный) на отчетную дату;</w:t>
      </w:r>
    </w:p>
    <w:p>
      <w:pPr>
        <w:spacing w:after="120"/>
        <w:jc w:val="both"/>
      </w:pPr>
      <w:r>
        <w:rPr>
          <w:rFonts w:ascii="Arial" w:cs="Arial" w:eastAsia="Arial" w:hAnsi="Arial"/>
          <w:sz w:val="24"/>
          <w:szCs w:val="24"/>
        </w:rPr>
        <w:t xml:space="preserve">*** по депозитам до востребования и расчетным счетам ячейка оставляется пустой.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РАЗДЕЛ 9.Б. ИНФОРМАЦИЯ О БАНКАХ-КОРРЕСПОНДЕНТАХ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1471"/>
        <w:gridCol w:w="1054"/>
        <w:gridCol w:w="576"/>
        <w:gridCol w:w="735"/>
        <w:gridCol w:w="991"/>
        <w:gridCol w:w="1005"/>
        <w:gridCol w:w="887"/>
        <w:gridCol w:w="610"/>
        <w:gridCol w:w="631"/>
        <w:gridCol w:w="631"/>
        <w:gridCol w:w="631"/>
        <w:gridCol w:w="631"/>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
 Идентификационный код (для небанковских организаций)</w:t>
            </w:r>
          </w:p>
        </w:tc>
        <w:tc>
          <w:tcPr>
            <w:tcW w:type="dxa" w:w="1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
 Наименование ЮЛ (для небанковских организаций)</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
 лежности</w:t>
            </w:r>
          </w:p>
        </w:tc>
        <w:tc>
          <w:tcPr>
            <w:tcW w:type="dxa" w:w="9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1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8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6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9.Б-1. СВЕДЕНИЯ ПО СРЕДСТВАМ, РАЗМЕЩЕННЫМ НА ДЕПОЗИТНЫХ СЧЕТАХ</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
        <w:gridCol w:w="977"/>
        <w:gridCol w:w="682"/>
        <w:gridCol w:w="954"/>
        <w:gridCol w:w="954"/>
        <w:gridCol w:w="655"/>
        <w:gridCol w:w="566"/>
        <w:gridCol w:w="450"/>
        <w:gridCol w:w="450"/>
        <w:gridCol w:w="816"/>
        <w:gridCol w:w="822"/>
        <w:gridCol w:w="810"/>
        <w:gridCol w:w="861"/>
        <w:gridCol w:w="861"/>
      </w:tblGrid>
      <w:tr>
        <w:tc>
          <w:tcPr>
            <w:tcW w:type="dxa" w:w="3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w:t>
            </w:r>
          </w:p>
        </w:tc>
        <w:tc>
          <w:tcPr>
            <w:tcW w:type="dxa" w:w="6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19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сумма депозита</w:t>
            </w:r>
          </w:p>
        </w:tc>
        <w:tc>
          <w:tcPr>
            <w:tcW w:type="dxa" w:w="5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9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8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8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доходности</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К1.3</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агентства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разделе 14. "Сведения о соблюдении экономических нормативов и поддержке дополнительного запаса капитала (индекс "буфер капитала")":</w:t>
      </w:r>
    </w:p>
    <w:p>
      <w:pPr>
        <w:spacing w:after="120"/>
        <w:jc w:val="both"/>
      </w:pPr>
      <w:r>
        <w:rPr>
          <w:rFonts w:ascii="Arial" w:cs="Arial" w:eastAsia="Arial" w:hAnsi="Arial"/>
          <w:sz w:val="24"/>
          <w:szCs w:val="24"/>
        </w:rPr>
        <w:t xml:space="preserve">подраздел Б. "Отчет о соблюдении экономического норматива достаточности (адекватности) капитала и норматива (показателя) ликвидности" изложить в следующей реакции:</w:t>
      </w:r>
    </w:p>
    <w:p>
      <w:pPr>
        <w:spacing w:after="120"/>
        <w:jc w:val="both"/>
      </w:pPr>
      <w:r>
        <w:rPr>
          <w:rFonts w:ascii="Arial" w:cs="Arial" w:eastAsia="Arial" w:hAnsi="Arial"/>
          <w:sz w:val="24"/>
          <w:szCs w:val="24"/>
        </w:rPr>
        <w:t xml:space="preserve">"Б. Отчет о соблюдении экономического норматива достаточности (адекватности) капитала и норматива (показателя) ликвидности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7"/>
        <w:gridCol w:w="1254"/>
        <w:gridCol w:w="1142"/>
        <w:gridCol w:w="1466"/>
        <w:gridCol w:w="1663"/>
        <w:gridCol w:w="1796"/>
      </w:tblGrid>
      <w:tr>
        <w:tc>
          <w:tcPr>
            <w:tcW w:type="dxa" w:w="28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требований, дополнительный запас капитала банка (индекс "буфер капитала")</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w:t>
            </w:r>
          </w:p>
        </w:tc>
        <w:tc>
          <w:tcPr>
            <w:tcW w:type="dxa" w:w="1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w:t>
            </w:r>
          </w:p>
        </w:tc>
        <w:tc>
          <w:tcPr>
            <w:tcW w:type="dxa" w:w="1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w:t>
            </w: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ЧКПУ</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4"/>
        <w:gridCol w:w="989"/>
        <w:gridCol w:w="989"/>
        <w:gridCol w:w="989"/>
        <w:gridCol w:w="989"/>
        <w:gridCol w:w="989"/>
        <w:gridCol w:w="989"/>
        <w:gridCol w:w="682"/>
      </w:tblGrid>
      <w:tr>
        <w:tc>
          <w:tcPr>
            <w:tcW w:type="dxa" w:w="35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 значения за отчетный период</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неделя</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К3.1 = (ЛА/ОБ) * 100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подраздел 14.Д. "Отчет о выполнении требований НБКР" изложить в следующей реакции:</w:t>
      </w:r>
    </w:p>
    <w:p>
      <w:pPr>
        <w:spacing w:after="120"/>
        <w:jc w:val="both"/>
      </w:pPr>
      <w:r>
        <w:rPr>
          <w:rFonts w:ascii="Arial" w:cs="Arial" w:eastAsia="Arial" w:hAnsi="Arial"/>
          <w:sz w:val="24"/>
          <w:szCs w:val="24"/>
        </w:rPr>
        <w:t xml:space="preserve">"14.Д.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2"/>
        <w:gridCol w:w="1433"/>
        <w:gridCol w:w="2567"/>
        <w:gridCol w:w="1826"/>
      </w:tblGrid>
      <w:tr>
        <w:tc>
          <w:tcPr>
            <w:tcW w:type="dxa" w:w="4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w:t>
            </w:r>
          </w:p>
        </w:tc>
        <w:tc>
          <w:tcPr>
            <w:tcW w:type="dxa" w:w="2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финансированию, не обеспеченному залогом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собственного (регулятивного) капитала</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размера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Раздел 14 "Сведения о соблюдении экономических нормативов и поддержке дополнительного запаса капитала (индекс "буфер капитала")" дополнить подразделом 14.З. следующего содержания:</w:t>
      </w:r>
    </w:p>
    <w:p>
      <w:pPr>
        <w:spacing w:after="120"/>
        <w:jc w:val="both"/>
      </w:pPr>
      <w:r>
        <w:rPr>
          <w:rFonts w:ascii="Arial" w:cs="Arial" w:eastAsia="Arial" w:hAnsi="Arial"/>
          <w:sz w:val="24"/>
          <w:szCs w:val="24"/>
        </w:rPr>
        <w:t xml:space="preserve">"14.З. Информация об объеме финансирования, предоставленного членам ГСО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9"/>
        <w:gridCol w:w="2215"/>
        <w:gridCol w:w="1865"/>
      </w:tblGrid>
      <w:tr>
        <w:tc>
          <w:tcPr>
            <w:tcW w:type="dxa" w:w="60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22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6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предоставленного членам группы солидарной ответственности</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разделе 15.1. "Активы":</w:t>
      </w:r>
    </w:p>
    <w:p>
      <w:pPr>
        <w:spacing w:after="120"/>
        <w:jc w:val="both"/>
      </w:pPr>
      <w:r>
        <w:rPr>
          <w:rFonts w:ascii="Arial" w:cs="Arial" w:eastAsia="Arial" w:hAnsi="Arial"/>
          <w:sz w:val="24"/>
          <w:szCs w:val="24"/>
        </w:rPr>
        <w:t xml:space="preserve">строку 50.6 статьи 50. "Корреспондентские счета в коммерческих банках стран СНГ" признать утратившей силу;</w:t>
      </w:r>
    </w:p>
    <w:p>
      <w:pPr>
        <w:spacing w:after="120"/>
        <w:jc w:val="both"/>
      </w:pPr>
      <w:r>
        <w:rPr>
          <w:rFonts w:ascii="Arial" w:cs="Arial" w:eastAsia="Arial" w:hAnsi="Arial"/>
          <w:sz w:val="24"/>
          <w:szCs w:val="24"/>
        </w:rPr>
        <w:t xml:space="preserve">строку 60.6 статьи 60. "Корреспондентские счета в иностранных банках, кроме стран СНГ" признать утратившей силу;</w:t>
      </w:r>
    </w:p>
    <w:p>
      <w:pPr>
        <w:spacing w:after="120"/>
        <w:jc w:val="both"/>
      </w:pPr>
      <w:r>
        <w:rPr>
          <w:rFonts w:ascii="Arial" w:cs="Arial" w:eastAsia="Arial" w:hAnsi="Arial"/>
          <w:sz w:val="24"/>
          <w:szCs w:val="24"/>
        </w:rPr>
        <w:t xml:space="preserve">строку 90.6 статьи 90. "Денежные средства на счетах в банках и финансовых организациях стран СНГ" признать утратившей силу;</w:t>
      </w:r>
    </w:p>
    <w:p>
      <w:pPr>
        <w:spacing w:after="120"/>
        <w:jc w:val="both"/>
      </w:pPr>
      <w:r>
        <w:rPr>
          <w:rFonts w:ascii="Arial" w:cs="Arial" w:eastAsia="Arial" w:hAnsi="Arial"/>
          <w:sz w:val="24"/>
          <w:szCs w:val="24"/>
        </w:rPr>
        <w:t xml:space="preserve">строку 100.6 статьи 100. "Денежные средства на счетах в иностранных банках и финансовых организациях, кроме стран СНГ" признать утратившей силу;</w:t>
      </w:r>
    </w:p>
    <w:p>
      <w:pPr>
        <w:spacing w:after="120"/>
        <w:jc w:val="both"/>
      </w:pPr>
      <w:r>
        <w:rPr>
          <w:rFonts w:ascii="Arial" w:cs="Arial" w:eastAsia="Arial" w:hAnsi="Arial"/>
          <w:sz w:val="24"/>
          <w:szCs w:val="24"/>
        </w:rPr>
        <w:t xml:space="preserve">строку 110.6 статьи 110. "Краткосрочные межбанковские размещения до 7 дней" признать утратившей силу;</w:t>
      </w:r>
    </w:p>
    <w:p>
      <w:pPr>
        <w:spacing w:after="120"/>
        <w:jc w:val="both"/>
      </w:pPr>
      <w:r>
        <w:rPr>
          <w:rFonts w:ascii="Arial" w:cs="Arial" w:eastAsia="Arial" w:hAnsi="Arial"/>
          <w:sz w:val="24"/>
          <w:szCs w:val="24"/>
        </w:rPr>
        <w:t xml:space="preserve">строку 120.6 статьи 120. "Операции по РЕПО-соглашениям" признать утратившей силу;</w:t>
      </w:r>
    </w:p>
    <w:p>
      <w:pPr>
        <w:spacing w:after="120"/>
        <w:jc w:val="both"/>
      </w:pPr>
      <w:r>
        <w:rPr>
          <w:rFonts w:ascii="Arial" w:cs="Arial" w:eastAsia="Arial" w:hAnsi="Arial"/>
          <w:sz w:val="24"/>
          <w:szCs w:val="24"/>
        </w:rPr>
        <w:t xml:space="preserve">- в подразделе 15.2. Портфель ценных бумаг:</w:t>
      </w:r>
    </w:p>
    <w:p>
      <w:pPr>
        <w:spacing w:after="120"/>
        <w:jc w:val="both"/>
      </w:pPr>
      <w:r>
        <w:rPr>
          <w:rFonts w:ascii="Arial" w:cs="Arial" w:eastAsia="Arial" w:hAnsi="Arial"/>
          <w:sz w:val="24"/>
          <w:szCs w:val="24"/>
        </w:rPr>
        <w:t xml:space="preserve">строку 150.6 статьи 150. "Ценные бумаги, выпущенные правительствами стран СНГ" признать утратившей силу;</w:t>
      </w:r>
    </w:p>
    <w:p>
      <w:pPr>
        <w:spacing w:after="120"/>
        <w:jc w:val="both"/>
      </w:pPr>
      <w:r>
        <w:rPr>
          <w:rFonts w:ascii="Arial" w:cs="Arial" w:eastAsia="Arial" w:hAnsi="Arial"/>
          <w:sz w:val="24"/>
          <w:szCs w:val="24"/>
        </w:rPr>
        <w:t xml:space="preserve">строку 160.6 статьи 160. "Ценные бумаги, выпущенные иностранными правительствами стран, кроме правительств стран СНГ" признать утратившей силу;</w:t>
      </w:r>
    </w:p>
    <w:p>
      <w:pPr>
        <w:spacing w:after="120"/>
        <w:jc w:val="both"/>
      </w:pPr>
      <w:r>
        <w:rPr>
          <w:rFonts w:ascii="Arial" w:cs="Arial" w:eastAsia="Arial" w:hAnsi="Arial"/>
          <w:sz w:val="24"/>
          <w:szCs w:val="24"/>
        </w:rPr>
        <w:t xml:space="preserve">строку 170.6 статьи 170. "Долговые ценные бумаги кыргызских компаний" признать утратившей силу;</w:t>
      </w:r>
    </w:p>
    <w:p>
      <w:pPr>
        <w:spacing w:after="120"/>
        <w:jc w:val="both"/>
      </w:pPr>
      <w:r>
        <w:rPr>
          <w:rFonts w:ascii="Arial" w:cs="Arial" w:eastAsia="Arial" w:hAnsi="Arial"/>
          <w:sz w:val="24"/>
          <w:szCs w:val="24"/>
        </w:rPr>
        <w:t xml:space="preserve">строку 180.6 статьи 180. "Долговые ценные бумаги компаний стран СНГ" признать утратившей силу;</w:t>
      </w:r>
    </w:p>
    <w:p>
      <w:pPr>
        <w:spacing w:after="120"/>
        <w:jc w:val="both"/>
      </w:pPr>
      <w:r>
        <w:rPr>
          <w:rFonts w:ascii="Arial" w:cs="Arial" w:eastAsia="Arial" w:hAnsi="Arial"/>
          <w:sz w:val="24"/>
          <w:szCs w:val="24"/>
        </w:rPr>
        <w:t xml:space="preserve">строку 190.6 статьи 190. "Долговые ценные бумаги иностранных компаний, кроме стран СНГ" признать утратившей силу;</w:t>
      </w:r>
    </w:p>
    <w:p>
      <w:pPr>
        <w:spacing w:after="120"/>
        <w:jc w:val="both"/>
      </w:pPr>
      <w:r>
        <w:rPr>
          <w:rFonts w:ascii="Arial" w:cs="Arial" w:eastAsia="Arial" w:hAnsi="Arial"/>
          <w:sz w:val="24"/>
          <w:szCs w:val="24"/>
        </w:rPr>
        <w:t xml:space="preserve">строку 210.7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220.7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230.7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 в подразделе 15.3. Финансирование:</w:t>
      </w:r>
    </w:p>
    <w:p>
      <w:pPr>
        <w:spacing w:after="120"/>
        <w:jc w:val="both"/>
      </w:pPr>
      <w:r>
        <w:rPr>
          <w:rFonts w:ascii="Arial" w:cs="Arial" w:eastAsia="Arial" w:hAnsi="Arial"/>
          <w:sz w:val="24"/>
          <w:szCs w:val="24"/>
        </w:rPr>
        <w:t xml:space="preserve">статью 240 "Финансирование, предоставленное банкам Кыргызской Республики" дополнить строкой 240.6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280 "Финансирование, предоставленное негосударственному сектору" дополнить строкой 280.6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290 "Финансирование, предоставленное физическим лицам для личных целей" дополнить строкой 290.6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310 "Финансирование, предоставленное негосударственному сектору на ипотеку" дополнить строкой 310.1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320 "Финансирование, предоставленное физическим лицам на ипотеку" дополнить строкой 320.3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подразделе 15.4. Финансирование (продолжение)/прочие активы:</w:t>
      </w:r>
    </w:p>
    <w:p>
      <w:pPr>
        <w:spacing w:after="120"/>
        <w:jc w:val="both"/>
      </w:pPr>
      <w:r>
        <w:rPr>
          <w:rFonts w:ascii="Arial" w:cs="Arial" w:eastAsia="Arial" w:hAnsi="Arial"/>
          <w:sz w:val="24"/>
          <w:szCs w:val="24"/>
        </w:rPr>
        <w:t xml:space="preserve">статью 340 "Финансирование, предоставленное на строительство негосударственному сектору" дополнить строкой 340.6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350 "Финансирование, предоставленное на строительство физическим лицам" дополнить строкой 350.6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360 "Финансирование, предоставленное по договору иджара мунтахийя биттамлик" дополнить строкой 360.6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370 "Активы, размещенные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5842"/>
        <w:gridCol w:w="1223"/>
        <w:gridCol w:w="1223"/>
        <w:gridCol w:w="942"/>
      </w:tblGrid>
      <w:tr>
        <w:tc>
          <w:tcPr>
            <w:tcW w:type="dxa" w:w="9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размещенные по договорам мушарака, мудараба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370.3</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подразделе 15.7. Капитал и коэффициенты достаточности (адекватности) капитала:</w:t>
      </w:r>
    </w:p>
    <w:p>
      <w:pPr>
        <w:spacing w:after="120"/>
        <w:jc w:val="both"/>
      </w:pPr>
      <w:r>
        <w:rPr>
          <w:rFonts w:ascii="Arial" w:cs="Arial" w:eastAsia="Arial" w:hAnsi="Arial"/>
          <w:sz w:val="24"/>
          <w:szCs w:val="24"/>
        </w:rPr>
        <w:t xml:space="preserve">строки 960 и 970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
        <w:gridCol w:w="8291"/>
        <w:gridCol w:w="1077"/>
      </w:tblGrid>
      <w:tr>
        <w:tc>
          <w:tcPr>
            <w:tcW w:type="dxa" w:w="8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(ст.920/(ст.640 минус ст.1010))</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(ст.800/(ст.640 минус ст.1010))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 дополнить строкой 1020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
        <w:gridCol w:w="8291"/>
        <w:gridCol w:w="1077"/>
      </w:tblGrid>
      <w:tr>
        <w:tc>
          <w:tcPr>
            <w:tcW w:type="dxa" w:w="8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регулятивный капитал</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18 "Прочие сведения" дополнить подразделом 18.Е следующего содержания:</w:t>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18.Е. Информация о риск-событиях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
        <w:gridCol w:w="835"/>
        <w:gridCol w:w="656"/>
        <w:gridCol w:w="650"/>
        <w:gridCol w:w="1114"/>
        <w:gridCol w:w="772"/>
        <w:gridCol w:w="568"/>
        <w:gridCol w:w="835"/>
        <w:gridCol w:w="766"/>
        <w:gridCol w:w="760"/>
        <w:gridCol w:w="569"/>
        <w:gridCol w:w="569"/>
        <w:gridCol w:w="569"/>
        <w:gridCol w:w="569"/>
        <w:gridCol w:w="697"/>
      </w:tblGrid>
      <w:tr>
        <w:tc>
          <w:tcPr>
            <w:tcW w:type="dxa" w:w="2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регистрации/
 совершения/
 возникновения риск-события</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выявления риск-события</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устранения риск-события</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ГО/филиал/название СП/№ АТМ/название точки обслуживания/ТСП</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Бизнес-процесс, на котором произошел инцидент/вид деятельности</w:t>
            </w:r>
          </w:p>
        </w:tc>
        <w:tc>
          <w:tcPr>
            <w:tcW w:type="dxa" w:w="5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риск-события</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возникновения риска</w:t>
            </w:r>
          </w:p>
        </w:tc>
        <w:tc>
          <w:tcPr>
            <w:tcW w:type="dxa" w:w="7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решения/
 Предложения по минимизации риска</w:t>
            </w:r>
          </w:p>
        </w:tc>
        <w:tc>
          <w:tcPr>
            <w:tcW w:type="dxa" w:w="7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меры/
 мероприятия</w:t>
            </w:r>
          </w:p>
        </w:tc>
        <w:tc>
          <w:tcPr>
            <w:tcW w:type="dxa" w:w="22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рисков (влияние/потери)</w:t>
            </w:r>
          </w:p>
        </w:tc>
        <w:tc>
          <w:tcPr>
            <w:tcW w:type="dxa" w:w="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деятельность банка</w:t>
            </w:r>
          </w:p>
        </w:tc>
        <w:tc>
          <w:tcPr>
            <w:tcW w:type="dxa" w:w="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репутацию</w:t>
            </w:r>
          </w:p>
        </w:tc>
        <w:tc>
          <w:tcPr>
            <w:tcW w:type="dxa" w:w="11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финансы</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Шкала уровня риска</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vMerge w:val="continue"/>
            <w:tcBorders>
              <w:top w:val="single" w:color="CBBF9E" w:sz="4"/>
              <w:left w:val="none" w:color="auto" w:sz="0"/>
              <w:bottom w:val="single" w:color="CBBF9E" w:sz="4"/>
              <w:right w:val="single" w:color="CBBF9E" w:sz="4"/>
            </w:tcBorders>
          </w:tcP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Внутреннее мошенничество, то есть злоупотребления или неправомерные действия сотрудников банка</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Внешнее мошенничество, то есть неправомерные действия посторонних по отношению к банку лиц</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Практика приема на работу, нарушения банковского, трудового и иного законодательства, условий безопасности труда и охраны здоровья сотрудников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Нарушение банком обязательств по договорам перед клиентами банка и третьими лицами, злоупотребление информацией о клиентах банка, некачественное осуществление операций или предоставление услуг, несоблюдение обычаев делового оборота, нарушение антимонопольного законодательства, несоблюдение требований по изучению клиентов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Причинение ущерба материальным активам банка (например, вследствие пожара, стихийных бедствий, актов терроризма, вандализма и т.д.)</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Сбои в функционировании или выход из строя информационных и других систем, оборудования, коммуникаций банка</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Ненадлежащая организация внутренних процессов и информационных потоков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kakly1vuliyovhswotby">
      <w:r>
        <w:rPr>
          <w:rFonts w:ascii="Arial" w:cs="Arial" w:eastAsia="Arial" w:hAnsi="Arial"/>
          <w:color w:val="132D3F"/>
          <w:sz w:val="16"/>
          <w:szCs w:val="16"/>
          <w:u w:val="single"/>
        </w:rPr>
        <w:t xml:space="preserve">dalil.kg/document/800257</w:t>
      </w:r>
    </w:hyperlink>
  </w:p>
  <w:p>
    <w:pPr>
      <w:spacing w:after="0" w:before="40"/>
      <w:jc w:val="center"/>
    </w:pPr>
    <w:hyperlink w:history="1" r:id="rId2sgrun7rrbotg3m_sqk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j0ukkbtpclb6zpgrn0j" Type="http://schemas.openxmlformats.org/officeDocument/2006/relationships/hyperlink" Target="https://dalil.kg/document/111486" TargetMode="External"/><Relationship Id="rIdqgwc9f5g_h6jjobh4i93h" Type="http://schemas.openxmlformats.org/officeDocument/2006/relationships/hyperlink" Target="https://dalil.kg/document/301267" TargetMode="External"/><Relationship Id="rIdythwf5simcm5njv9t6xie" Type="http://schemas.openxmlformats.org/officeDocument/2006/relationships/hyperlink" Target="https://dalil.kg/document/301267" TargetMode="External"/><Relationship Id="rIdz8s8iffbpkvaq1fwf3-d7" Type="http://schemas.openxmlformats.org/officeDocument/2006/relationships/hyperlink" Target="https://dalil.kg/document/300273" TargetMode="External"/><Relationship Id="rIdb1_-mh5rmo4_fjlr4tvmr" Type="http://schemas.openxmlformats.org/officeDocument/2006/relationships/hyperlink" Target="https://dalil.kg/document/302407" TargetMode="External"/><Relationship Id="rIds52xjfaqqfwhxnted-sco" Type="http://schemas.openxmlformats.org/officeDocument/2006/relationships/hyperlink" Target="https://dalil.kg/document/302407" TargetMode="External"/><Relationship Id="rIdct281gy_2wv--uuw58341" Type="http://schemas.openxmlformats.org/officeDocument/2006/relationships/hyperlink" Target="https://dalil.kg/document/301267" TargetMode="External"/><Relationship Id="rIdgoooavhgmmxaeoksjfegd" Type="http://schemas.openxmlformats.org/officeDocument/2006/relationships/hyperlink" Target="https://dalil.kg/document/301267" TargetMode="External"/><Relationship Id="rIdfsfznsvrnniclhxiai8sf" Type="http://schemas.openxmlformats.org/officeDocument/2006/relationships/hyperlink" Target="https://dalil.kg/document/301267" TargetMode="External"/><Relationship Id="rIdaddmnvfqe8cturh7whxux" Type="http://schemas.openxmlformats.org/officeDocument/2006/relationships/hyperlink" Target="https://dalil.kg/document/300273" TargetMode="External"/><Relationship Id="rIdiqz2fjcvodveb3dw2sp3_" Type="http://schemas.openxmlformats.org/officeDocument/2006/relationships/hyperlink" Target="https://dalil.kg/document/300273" TargetMode="External"/><Relationship Id="rIdo8cs6ovd-s9zcxep_ivgy" Type="http://schemas.openxmlformats.org/officeDocument/2006/relationships/hyperlink" Target="https://dalil.kg/document/300273" TargetMode="External"/><Relationship Id="rId_qwoeijzpyz9-q5v6dayd" Type="http://schemas.openxmlformats.org/officeDocument/2006/relationships/hyperlink" Target="https://dalil.kg/document/300273" TargetMode="External"/><Relationship Id="rIdxnh91us9bqo0-f8iakaen" Type="http://schemas.openxmlformats.org/officeDocument/2006/relationships/hyperlink" Target="https://dalil.kg/document/300273" TargetMode="External"/><Relationship Id="rId73yach3lmj94i3gsdj-bn" Type="http://schemas.openxmlformats.org/officeDocument/2006/relationships/hyperlink" Target="https://dalil.kg/document/300273" TargetMode="External"/><Relationship Id="rIdu3r4kflif5pra775einha" Type="http://schemas.openxmlformats.org/officeDocument/2006/relationships/hyperlink" Target="https://dalil.kg/document/300273" TargetMode="External"/><Relationship Id="rIdzgre1p-jkzk4yysaoqht2" Type="http://schemas.openxmlformats.org/officeDocument/2006/relationships/hyperlink" Target="https://dalil.kg/document/300273" TargetMode="External"/><Relationship Id="rId7rhpxsef2affbdgunxtm7" Type="http://schemas.openxmlformats.org/officeDocument/2006/relationships/hyperlink" Target="https://dalil.kg/document/302407" TargetMode="External"/><Relationship Id="rIdkmr7hqmxpejktiiux2nzm" Type="http://schemas.openxmlformats.org/officeDocument/2006/relationships/hyperlink" Target="https://dalil.kg/document/302407" TargetMode="External"/><Relationship Id="rIdi8zmdmysohuaafa6rtd7h" Type="http://schemas.openxmlformats.org/officeDocument/2006/relationships/hyperlink" Target="https://dalil.kg/document/302407" TargetMode="External"/><Relationship Id="rIdq8jrfsadmhvpfjjdp7vhf" Type="http://schemas.openxmlformats.org/officeDocument/2006/relationships/hyperlink" Target="https://dalil.kg/document/302407" TargetMode="External"/><Relationship Id="rIdp7lrrzrklv4xuh2xidybg" Type="http://schemas.openxmlformats.org/officeDocument/2006/relationships/hyperlink" Target="https://dalil.kg/document/302407" TargetMode="External"/><Relationship Id="rIdcp6mpumkrousdcd61lb4e" Type="http://schemas.openxmlformats.org/officeDocument/2006/relationships/hyperlink" Target="https://dalil.kg/document/30240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kakly1vuliyovhswotby" Type="http://schemas.openxmlformats.org/officeDocument/2006/relationships/hyperlink" Target="https://dalil.kg/document/800257" TargetMode="External"/><Relationship Id="rId2sgrun7rrbotg3m_sqk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2026-09-25T18:27:32.793Z</dcterms:created>
  <dcterms:modified xsi:type="dcterms:W3CDTF">2026-09-25T18:27:32.793Z</dcterms:modified>
</cp:coreProperties>
</file>

<file path=docProps/custom.xml><?xml version="1.0" encoding="utf-8"?>
<Properties xmlns="http://schemas.openxmlformats.org/officeDocument/2006/custom-properties" xmlns:vt="http://schemas.openxmlformats.org/officeDocument/2006/docPropsVTypes"/>
</file>