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БАНК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 июля</w:t>
      </w:r>
      <w:r>
        <w:rPr>
          <w:rFonts w:ascii="Arial" w:cs="Arial" w:eastAsia="Arial" w:hAnsi="Arial"/>
          <w:sz w:val="24"/>
          <w:szCs w:val="24"/>
        </w:rPr>
        <w:t xml:space="preserve"> 2022 года № 2022-П-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временных решениях в сфере проведения обменных операций с иностранной валютой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безопасности Кыргызской Республики и в связи со складывающейся геополитической обстановкой в мире, для минимизации неблагоприятных последствий и рисков, и их влияния на отечественный финансовый рынок Правление Национального банка Кыргызской Республики, руководствуясь </w:t>
      </w:r>
      <w:hyperlink w:history="1" r:id="rIdjteex74gcz6qi0e3-di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_n7nqgkmj3gxw4x4zy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Национальном банке Кыргызской Республики, банках и банковской деятельности», постановляет: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Коммерческим банкам Кыргызской Республики: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 проведении операций с обменными бюро ограничить сумму покупки/продажи наличной/безналичной иностранной валюты в пределах оборотных средств обменного бюро единовременно в течение календарного дня;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предоставлять еженедельно отчетность в Национальный банк, согласно </w:t>
      </w:r>
      <w:hyperlink w:history="1" r:id="rIdvtkjktoscplcr2uonan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wlhi7zcun9-d-wnhqk1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, в срок до 14.00 часов понедельника, следующего за отчетной неделей (прилагается);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предоставлять в Национальный банк информацию о проведенных операциях по покупке/продаже наличной/безналичной иностранной валюты с обменными бюро по состоянию на последний рабочий день каждого месяца, в срок до 16.00 часов рабочего дня, следующего за отчетным месяцем;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Обменным бюро: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запрещается проводить операции по покупке/продаже наличной иностранной валюты с коммерческими банками в течение календарного дня в размере, совокупно превышающем оборотные средства обменного бюро.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 проведении операций с коммерческими банками по покупке/продаже наличной/безналичной иностранной валюты предоставлять коммерческим банкам в письменной форме за подписью руководителя обменного бюро информацию, подтверждающую размер оборотных средств обменного бюро на конец предыдущего дня и/или на начало дня, с приложением чека контрольно-кассовой машины (ККМ).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В случае нарушения настоящего постановления к коммерческим банкам и обменным бюро будут применены меры воздействия, в том числе отзыв лицензии в соответствии с законодательством Кыргызской Республики, а также меры воздействия к соответствующим должностным лицам.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со дня официального опубликования и действует до принятия соответствующего решения Правления Национального банка.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настоящее постановление на официальном интернет-сайте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Управлению банковского надзора 1, управлению банковского надзора 2 и управлению надзора за небанковскими финансово-кредитными организациями довести настоящее постановление до сведения коммерческих банков, ОЮЛ «Союз банков Кыргызстана», Ассоциации обменных бюро «Альянс», обменных бюро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Отделу развития государственного языка и документооборота довести настоящее постановление до сведения всех структурных подразделений, областных управлений и представительства Национального банка Кыргызской Республики в Баткенской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Контроль за исполнением настоящего постановления возложить на члена Правления Национального банка Кыргызской Республики, курирующего надзорный блок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 Боконтаев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ЕЖЕНЕДЕЛЬНЫЙ ОТЧЕТ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операциям с наличной/безналичной иностранной валютой коммерческих банков с обменными бюро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коммерческого банка)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"___" ________________________ 20__ 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</w:tblGrid>
      <w:tr>
        <w:tc>
          <w:tcPr>
            <w:tcW w:type="dxa" w:w="1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валюты 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начало дня 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Курс покупки (сом/ин. валюта) 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покупки 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операции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(обмен наличной/безналичной валюты)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Курс продажи (сом/ин. валюта)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продажи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операции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(обмен наличной/безналичной валюты)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конец дня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cwi5kw3cjw6f1uhfq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dalil.kg/document/800458</w:t>
      </w:r>
    </w:hyperlink>
  </w:p>
  <w:p>
    <w:pPr>
      <w:spacing w:after="0" w:before="40"/>
      <w:jc w:val="center"/>
    </w:pPr>
    <w:hyperlink w:history="1" r:id="rIdlv8evxx1dfywxa4dqwz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eex74gcz6qi0e3-didk" Type="http://schemas.openxmlformats.org/officeDocument/2006/relationships/hyperlink" Target="https://dalil.kg/document/111486#st_20" TargetMode="External"/><Relationship Id="rIdv_n7nqgkmj3gxw4x4zy5i" Type="http://schemas.openxmlformats.org/officeDocument/2006/relationships/hyperlink" Target="https://dalil.kg/document/111486#st_68" TargetMode="External"/><Relationship Id="rIdvtkjktoscplcr2uonanvo" Type="http://schemas.openxmlformats.org/officeDocument/2006/relationships/hyperlink" Target="https://dalil.kg/document/800458#pr1" TargetMode="External"/><Relationship Id="rIdwlhi7zcun9-d-wnhqk1kt" Type="http://schemas.openxmlformats.org/officeDocument/2006/relationships/hyperlink" Target="https://dalil.kg/document/8004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cwi5kw3cjw6f1uhfquc" Type="http://schemas.openxmlformats.org/officeDocument/2006/relationships/hyperlink" Target="https://dalil.kg/document/800458" TargetMode="External"/><Relationship Id="rIdlv8evxx1dfywxa4dqwz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2026-09-27T18:28:14.146Z</dcterms:created>
  <dcterms:modified xsi:type="dcterms:W3CDTF">2026-09-27T18:28:14.146Z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