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-П-1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-(</w:t>
      </w:r>
      <w:r>
        <w:rPr>
          <w:rFonts w:ascii="Arial" w:cs="Arial" w:eastAsia="Arial" w:hAnsi="Arial"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утверждении Минимальных требований по формированию кредитного портфеля, принимаемого в качестве залогового обеспечения" от 27 декабря 2017 года № 2017-П-15/54-4-(НПА)"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_fa3eeor_avu3v0bmqj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xgarsvbfttsi1yent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knmonea7za0rzzwlar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постановление Правления Национального банка Кыргызской Республики "Об утверждении Минимальных требований по формированию кредитного портфеля, принимаемого в качестве залогового обеспечения" от 27 декабря 2017 года № 2017-П-15/54-4-(НПА)"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довести настоящее постановление до сведения коммерческих банков Кыргызской Республики, небанковских финансово-кредитных организаций, привлекающих депозиты,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бухгалтерского учета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З.Чокоев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kbjaxhd6kppnqivq3b7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22 февраля 2023 года </w:t>
      </w:r>
      <w:r>
        <w:rPr>
          <w:rFonts w:ascii="Arial" w:cs="Arial" w:eastAsia="Arial" w:hAnsi="Arial"/>
          <w:sz w:val="24"/>
          <w:szCs w:val="24"/>
        </w:rPr>
        <w:t xml:space="preserve">№ 2023-П-15/11-6-(НПА)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в постановление Правления Национального банка 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"Об утверждении Минимальных требований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формированию кредитного портфеля, принимаемого в качестве залогового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обеспечения" от 27 декабря 2017 года № 2017-П-15/54-4-(НПА)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Правления Национального банка Кыргызской Республики "Об утверждении Минимальных требований по формированию кредитного портфеля, принимаемого в качестве залогового обеспечения" от 27 декабря 2017 года № 2017-П-15/54-4-(НПА)"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Минимальных требованиях по формированию кредитного портфеля, принимаемого в качестве залогового обеспечения,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после слова "Банк" в различных падежах дополнить словом "/НФКУ";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Целью настоящих минимальных требований является определение характеристик и требований к кредитам/лизингам коммерческих банков (далее - банки), небанковских финансово-кредитных организаций, привлекающих депозиты (далее - НФКО), включаемых в портфель кредитов, права требования по которому могут быть приняты в качестве залога при предоставлении кредитов Национальным банком Кыргызской Республики (далее - Национальный банк) и их проверке на предмет соответствия установленным требованиям.";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10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кредитным ресурсам, предоставляемым в рамках положений "О порядке проведения Национальным банком Кыргызской Республики кредитных аукционов для целей рефинансирования и поддержания ликвидности", "О кредите последней инстанции", "О кредите для поддержания ликвидности", и "О кредите последней инстанции небанковским финансово-кредитным организациям, привлекающим депозиты", залоговым обеспечением выступают кредиты, выданные в национальной валюте.";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"5) кредит/лизинг соответствует характеристикам нормальных и удовлетворительных кредитов (активов), согласно положениям "О классификации активов и соответствующих отчислениях в резерв на покрытие потенциальных потерь и убытков" для банков и "О классификации активов и формирования резервов на покрытие потенциальных потерь и убытков небанковскими финансово-кредитными организациями" для НФКО, привлекающих депозиты;";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6 слова "утвержденного </w:t>
      </w:r>
      <w:hyperlink w:history="1" r:id="rIdj0-ag13krt0d-acfleq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30 июня 2010 года № 52/4"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18-1 слова "утвержденного </w:t>
      </w:r>
      <w:hyperlink w:history="1" r:id="rIdmwaujcnnha1v7bt0ooe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18/3"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5gzmufq9y4ceblcdg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dalil.kg/document/800471</w:t>
      </w:r>
    </w:hyperlink>
  </w:p>
  <w:p>
    <w:pPr>
      <w:spacing w:after="0" w:before="40"/>
      <w:jc w:val="center"/>
    </w:pPr>
    <w:hyperlink w:history="1" r:id="rIdyvevi2vvlizzze7uwag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a3eeor_avu3v0bmqje7" Type="http://schemas.openxmlformats.org/officeDocument/2006/relationships/hyperlink" Target="https://dalil.kg/document/112424#st_5" TargetMode="External"/><Relationship Id="rIdstxgarsvbfttsi1yentzp" Type="http://schemas.openxmlformats.org/officeDocument/2006/relationships/hyperlink" Target="https://dalil.kg/document/112424#st_9" TargetMode="External"/><Relationship Id="rIdqknmonea7za0rzzwlarop" Type="http://schemas.openxmlformats.org/officeDocument/2006/relationships/hyperlink" Target="https://dalil.kg/document/112424#st_64" TargetMode="External"/><Relationship Id="rIdkbjaxhd6kppnqivq3b7fu" Type="http://schemas.openxmlformats.org/officeDocument/2006/relationships/hyperlink" Target="https://dalil.kg/document/800471" TargetMode="External"/><Relationship Id="rIdj0-ag13krt0d-acfleqsl" Type="http://schemas.openxmlformats.org/officeDocument/2006/relationships/hyperlink" Target="https://dalil.kg/document/302353" TargetMode="External"/><Relationship Id="rIdmwaujcnnha1v7bt0ooetf" Type="http://schemas.openxmlformats.org/officeDocument/2006/relationships/hyperlink" Target="https://dalil.kg/document/313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5gzmufq9y4ceblcdguw" Type="http://schemas.openxmlformats.org/officeDocument/2006/relationships/hyperlink" Target="https://dalil.kg/document/800471" TargetMode="External"/><Relationship Id="rIdyvevi2vvlizzze7uwag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2026-09-28T18:05:14.366Z</dcterms:created>
  <dcterms:modified xsi:type="dcterms:W3CDTF">2026-09-28T18:05:14.366Z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