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2021-П-14/34-5-(ПС)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Положения "О регулировании деятельности платежных организаций и операторов платежных систем" от 30 сентября 2019 года № 2019-П-14/50-2-(ПС)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k8uuh8x3ns1t5gs3k9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bdnyhzc7j2mc41eerc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и </w:t>
      </w:r>
      <w:hyperlink w:history="1" r:id="rIdth961ru7dxh8pupubyy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платежной системе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wngg1ua8zfhgzm09xar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"Об утверждении </w:t>
      </w:r>
      <w:hyperlink w:history="1" r:id="rIduxunzccrmsubigqazsf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30 сентября 2019 года № 2019-П-14/50-2-(ПС)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платежных организаций и операторов платежных систем, ОЮЛ "Ассоциация операторов платежных систем Кыргызской Республики" и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Положения "О регулировании деятельности платежных организаций и операторов платежных систем" от 30 сентября 2019 года № 2019-П-14/50-2-ПС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juvqsmwlwdxercpjj4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pmxmjbr0fp9exjf2__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30 сентября 2019 года № 2019-П-14/50-2-(ПС)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slftweakwu9vqpkzmx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утвержденном вышеуказанным </w:t>
      </w:r>
      <w:hyperlink w:history="1" r:id="rIdk4eo-bmha4o2zhbeyt1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"Платежные организации, операторы платежных систем, а также агенты/субагенты платежной организации должны соблюдать требования законодательства, включая в сфере противодействия финансированию террористической деятельности и легализации (отмыванию) преступных доходов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(отмыванию) преступных доходов",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августа 2020 года № 2020-П-14/46-4-(ПС).";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"Веб-касса агента - это доступ к платежной системе платежной организации с помощью различных устройств (мобильный телефон, персональный компьютер, планшет и др.), предоставляемый агенту платежной организации для осуществления платежей.";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5nhttzq6k2gnz9fll3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xycerzqpip1wrbog1o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требования к деятельности платежных организаций и операторов платежных систем и их агентов";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Оператор платежной системы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Иная деятельность, которая является сопутствующей к основной или необходима для обеспечения основной деятельности оператора платежной системы, должна ограничиваться оказанием только следующих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распространению/передаче сообщений/сведений информационного характера (размещение рекламы на собственном сайте, на поверхности платежных терминалов, информационных/интерфейсных экранах терминалов, мобильных приложениях и зданиях, принадлежащих оператору платежной системы, а также на чеках при оказании соответствующих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разработке и дальнейшему обслуживанию/технической поддержке программного обеспечения для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сбору и передаче фискальных данных в защищенном виде уполномоченному налоговому органу/деятельности оператора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программного обеспечения (лицензии или продукты интеллектуальной собственности)/банковского оборудования/оборудования для осуществления приема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вычислительных мощностей, серверного и сетевого оборудования, арендной площади для серверного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может оказывать банковские розничные услуги в соответствии с агентским договором, заключенным с коммерческим банком Кыргызской Республики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может совмещать свою деятельность только с деятельностью платежной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и прав по ней другому лицу для осуществления деятельности, подлежащей лицензированию.";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0mriigrtzvjoae_grm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Оператор платежной системы в течение 12 (двенадцати) месяцев с даты получения лицензии должен заключить договор/ы с участниками платежной системы и начать осуществлять деятельность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 В противном случае лицензия оператора платежной системы подлежит отзыву в соответствии с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Оператор платежной системы может быть реорганизован (слияние, присоединение, разделение, выделение, преобразование) при соблюдении требований,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реорганизации оператор платежной системы должен предоставить уведомление в Национальный банк с приложением соответствующего решения по реорганизации, заверенного надлежащим образом, в срок не позднее 15 (пятнадцати) рабочих дней после прохождения государственной перерегистрации в связи с реорганизацией.";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Оператор платежной системы должен разработать и утвердить тарифную политику и принципы ценообразования стоимости своих услуг и один раз в год с момента получения лицензии предоставлять в Национальный банк сведения об утвержденных и действующих тарифах.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оператор платежной системы предоставляет сведения о тарифной политике в Национальный банк не реже 1 (одного) раза в год в срок до конца I (первого) квартала текущего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должен в течение 10 (десяти) рабочих дней после изменения тарифной политики и/или тарифов уведомить Национальный банк обо всех изменениях.";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Оператор платежной системы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контролировать соблюдение действующих правил и процедур, а также их соответствие требованиям настоящего Положения 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предъявлять требования к необходимым техническим и программным средствам для проведения платежей другим участникам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базу данных по агентам, субагентам и поставщикам товаров/услуг платежной организации, которая должна содержать,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договора (дата, номер, вид договорных отношений);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лица/ФИО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государственной регистрации юридического лица, паспортные данные индивидуального предпринимателя, патент, свидетельство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местонахождение/адрес проживания, адрес осуществления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руководителях;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собственниках/учредителях (для юридических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бенефициарных собственниках поставщиков товаров/услуг;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виде деятельности юридического лица/индивидуального предпринимателя (банковская деятельность, коммунальные услуги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предполагаемый характер деловых отношений с данным юридическим лицом/индивидуальным предпринимателем (если поставщик, то указать услугу);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условия (верхний и нижний предел комиссии, стоимость услуг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оценивать и управлять рисками в платежной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безопасное функционирование средств обработки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единый подход к управлению инцидентами и вести реестр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своевременное доведение информации по принятым в систему платежам до поставщика товаров/услуг при возникновении нештатной ситуации в соответствии с условиями договора и требованиями нормативных правовых актов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второе предложение абзаца первого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функциональными обязанностями персонал оператора платежной системы должен быть ответственным за:";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ch-i_ltw6qz5d_qgj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Оператор платежной системы должен иметь утвержденную учетную политику, соответствующую требованиям нормативных правовых актов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Платежная организация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ее основной детальности.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Иная деятельность, которая является сопутствующей к основной или необходима для обеспечения основной деятельности платежной организации, должна ограничиваться оказанием только следующих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распространению/передаче сообщений/сведений информационного характера (размещение рекламы на платежных терминалах, на собственном сайте, на поверхности платежных терминалов, информационных/интерфейсных экранах терминалов, мобильных приложениях и зданиях, принадлежащих платежной организации, а также на чеках при оказании соответствующих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разработке и дальнейшему обслуживанию/технической поддержки программного обеспечения для платежных систем (при совмещении деятельности с деятельностью оператора платежных систем);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сбору и передаче фискальных данных в защищенном виде уполномоченному налоговому органу/деятельности оператора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инкассаторских услуг для собственных агентов и субагентов;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обслуживание периферийных устройств (терминалов) агентов/субагентов;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программного обеспечения (лицензии или продукты интеллектуальной собственности)/оборудования для осуществления приема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вычислительных мощностей, серверного и сетевого оборудования, арендной площади для серверного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оказывать банковские розничные услуги в соответствии с агентским договором, заключенным с коммерческим банком Кыргызской Республики, и нормативными правовыми актами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совмещать свою деятельность только с деятельностью 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другому лицу для осуществления деятельности, подлежащей лицензированию.";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_t1jcfdtq7wacma0uu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Платежная организация должна иметь как минимум технический персонал (штатные должности), ответственный за функционирование аппаратно-программного комплекса и его безопасность, главного бухгалтера (штатная должность), а также другой персонал в соответствии со своей организационной структурой. В соответствии с функциональными обязанностями персонал платежной организации должен быть ответственным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адекватности систем контроля информационной системы - осуществление проверок звеньев управления, предоставление обоснованных предложений исполнительному органу по устранению выявленных недостатков и рекомендаций по повышению эффективности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обеспечения безопасности - повышение уровня информационной безопасности, а также минимизацию возможных потерь, вызванных действиями злоумышленников, аварийными сбоями и ошибками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соответствия функционирования системы требованиям настоящего Положения 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эффективности деятельности - осуществление экспертных оценок различных сторон функционирования организации и предоставление обоснованных предложений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надежности, полноты и своевременности финансовой информации, используемой для принятия решений, составления финансовой и регулятивной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выбору внешних аудиторов и при необходимости инициирование проведения специальных аудиторских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бухгалтерского учета и составление финансовой отчетности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должна обеспечить преемственность выполняемых функций персонала, при необходимости обеспечить дублирование функций персонала, принимающего участие в выполнении основных функций платежной организации. При увольнении/смене персонала должен быть определен порядок обеспечения приема-передачи функциональных обязанностей и документации с надлежащим оформлением (акт, протокол).";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В целях страхования возможных рисков поставщиков товаров/услуг платежная организация должна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предоплаты или безотзывной банковской гарантии или страхового депозита в размере не менее 100 (ста) процентов от всей суммы принимаемых платежей в бюджеты бюджетной системы Кыргызской Республики с установлением данного требования в соответствующих договорных отношениях (при заключении прямых договоров) с государственным органом и/или органом местного самоуправления, администрирующим уплату налогов, сборов и платежей, и реализацией необходимых механизмов контроля и управления рисками для осуществления приема денежных средств плательщиков по уплате налогов, сборов и платежей, подлежащих зачислению на Единый казначейский счет уполномоченного органа по прогнозированию и исполнению бюджета в Национальном банке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с государственным органом и/или органом местного самоуправления должно быть предусмотрено, что безотзывная банковская гарантия или страховой депозит будут использоваться при наступлении случаев неисполнения/нарушения платежной организацией обязательств по перечислению принятых платежей на Единый казначейский счет. В случае превышения суммы платежей над размером предоплаты или безотзывной банковской гарантии или страхового депозита услуга поставщика товаров/услуг должна автоматически отключаться;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безотзывной банковской гарантии или страхового депозита в размере 50 (пятидесяти) процентов среднедневного оборота за последний квартал по каждому поставщику товаров/услуг для поставщиков товаров/услуг, частично находящихся в государственной собственности, коммунальных предприятий и бюджетных организаций, где договорные отношения не предусматривают предоплату либо депозит, размещенный на банковском счете поставщика товаров/услуг.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с поставщиком товаров/услуг должно быть предусмотрено, что безотзывная банковская гарантия или страховой депозит будут использоваться по целевому назначению при наступлении случаев неисполнения/нарушения платежной организацией обязательств по перечислению принятых платежей на расчетный счет поставщика товаров/услуг, а также условия контроля банковского счета, на котором размещен страховой депозит, и/или возможность безакцептного списания денежных средств поставщиком товаров/услуг;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безотзывной банковской гарантии или страхового депозита в пользу поставщика товаров/услуг, где договорные отношения не предусматривают предоплату поставщику товаров/услуг. Размер безотзывной банковской гарантии или страхового депозита должен составлять не менее 10 (десяти) процентов от суммы среднедневного оборота платежной организации за последний квартал по каждому поставщику товаров/услуг;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денежные средства, предназначенные поставщику товаров/услуг, не должны аккумулироваться на расчетном счете платежной организации, предназначенном для проведения операций, связанных с хозяйственной деятельностью платежной организации. Страховые депозиты могут размещаться на одном банковском счете по всем поставщикам товаров/услуг либо на отдельных банковских счетах.";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"Прием, хранение, передача/перечисление денежных средств (инкассация) и кассовые операции, связанные с выдачей денежных средств, должны осуществляться платежной организацией по целевому назначению и для обслуживания только своей административно-хозяйственной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4azyjdiwwpzopwkuzf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Платежная организация в случае введения ограничений по передвижению в городах и населенных пунктах из-за наступления нештатных ситуаций (введение режимов чрезвычайного положения (ЧП)/чрезвычайной ситуации (ЧС) и др.) вправе заключить договор с инкассаторской службой (государственной или частной) для осуществления инкассации своих платежных терминалов и/или платежных терминалов своих агентов.";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e4ssgw6ab9sfns3_9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Платежная организация должна иметь утвержденную учетную политику, соответствующую требованиям нормативных правовых актов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_psl4la6d6lnc9dv1h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Аппаратная часть аппаратно-программного комплекса платежной организации должна состоять из оборудования промышленного класса. Платежная организация должна иметь в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договор, заключенный с организацией, которая разработала программное обеспечение, или организацией, уполномоченной правообладателем программного обеспечения (в случае приобретенного программного обеспечения);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по обеспечению технической поддержки с компанией-разработчиком (в случае приобретенного программного обеспечения) или лицами, разработавшими/поддерживающими функционирование программного обеспечения, в соответствии с заключенными договорами или трудовыми соглашениями с сотрудниками;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или сопровождающие документы для администраторов системы и пользователей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и методику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ввода и журнал испытаний опытной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ввода в промышленную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приема-передачи, подписанный платежной организацией и организацией, разработавшей программное обеспечение или организацией, уполномоченной правообладателем программного обеспечения.";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Платежная организация должна не реже 1 (одного) раза в 6 (шесть) месяцев проводить протоколированную проверку безопасности аппаратно-программного комплекса на соответствие требованиям внутренних правил и процедур, а также на соответствие требованиям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должны быть оформлены протокольно и подписаны участниками проверки и предоставлены в Национальный банк не позднее 15 (пятнадцати) рабочих дней с момента подписания.";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"Платежная организация вправе заключать агентские договора с юридическими лицами и индивидуальными предпринимателями для организации своей деятельности и обязана иметь электронный реестр договоров с агентами, содержащий следующую информацию по агентам, включая его пункты приема платежей:";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"49. Платежная организация должна иметь документы для обучения агентов/субагентов принципам использования платежной системы в рамках выполняемых ими функций. При заключении договора с агентами платежная организация обязана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инструктажа в соответствии с имеющимися внутренними правилами и процедурами, в том числе в дистанционной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(письменное/электронное) агента/субагентов с требованиями законодательства Кыргызской Республики, в том числе нормативными правовыми актами Национального банка, в части касающейся агентов, 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обеспечивает последующий мониторинг за деятельностью агентов/субагентов по соблюдению указанных требований.";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69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схему (топологию) сетевого взаимодействия оборудования и смежных систем.";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"Результаты проверки должны быть оформлены протокольно и подписаны участниками проверки и предоставлены в Национальный банк не позднее 15 (пятнадцати) рабочих дней с момента подписания.";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"79. Платежная организация для осуществления деятельности по приему платежей должна заключить с поставщиком товаров/услуг договор об осуществлении деятельности по приему платежей от потребителей товаров/услуг, по условиям которого платежная организация вправе от имени поставщика осуществлять только прием денежных средств от плательщиков, а также обязана осуществлять расчеты с поставщиком товаров/услуг в установленном договором порядке в соответствии с пунктом 33 настоящего Положения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в течение 12 (двенадцати) месяцев с момента получения лицензии должна заключить договор/договора и начать осуществлять прием платежей и расчеты, в противном случае лицензия платежной организации подлежит отзыву в соответствии с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82 слова и цифры "отчета 1-5" заменить словами и цифрами "отчета 1-7";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"83. Оператор платежной системы/платежные организации при возникновении оснований для изменений либо после принятия решения об изменениях в следующих сведениях должны в течение 15 (пятнадцати) рабочих дней предоставить в Национальный банк информацию, с приложением анкет и копий подтверждающих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размере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составе коллегиального исполнительного органа управления, учредителях, либо их анкетных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изменениях доли участия учредителей/участников/акционеров и сумме соглашений о передаче долей;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аффилированных и связанных лицах должностных лиц 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источниках происхождения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фактическом и юридическом адресах;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дочерних организаций/филиалов/представительств;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вводимых в коммерческую эксплуатацию новых продуктов/услуги, элементов и компонентов платежной системы и других автоматизированных систем, в том числе МПА;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противоправных действиях и инцидентах сотрудников организации, приведшие к убыткам;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изменениях в паспортах информационных систем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изменениях в организационной структуре и увольнениях 25 и более процентов сотрудников в течение 30 (тридцати) календарных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пункта слова и цифры "отчета 1-5" заменить словами и цифрами "отчета 1-7";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платежной системы/платежная организация и их должностные лица несут ответственность за предоставление своевременной, корректной и достоверной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"88. Оператор платежной системы/платежная организация обязаны ежемесячно предоставлять в Национальный банк информацию о вновь заключенных, перезаключенных и расторгнутых договорах с поставщиками товаров/услуг в срок не позднее 15 (пятнадцатого) числа месяца, следующего за отчетным месяцем, в соответствии с формой отчета 2 Приложения 1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89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платежной системы/платежная организация обязан(а) предоставить запрашиваемые сведения и документы в течение 10 (десяти) рабочих дней с момента получения запроса Национального банка, если иной срок не установлен в запросе.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системы/платежная организация обязан(а) обеспечить исполнение требований и рекомендаций Национального банка, направленных по результатам инспекторской проверки, в установленные сроки.";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проведения независимого аудита информационных систем определяется из расчета 3 (трех) последовательных лет с даты проведения последнего внешнего аудита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аудит информационных систем не проводился с момента получения лицензии оператора платежной системы, оператор платежной системы подлежит аудиту информационных систем в течение года с момента вступления настоящего Положения в силу.";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"95. В ходе и для аудита информационных систем внешний аудитор должен осуществить анализ и оценку соответствия информационных систем оператора платежных систем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нормативных правовых актов Национального банка в части управления рисками информационных систем, информационной безопасности и нештатных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внутренних политик/процедур информационных систем оператора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внешнего аудита информационных систем необходимо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изучить внутренние нормативные документы по обеспечению информационной безопасности на предмет их достаточности и соответствия требованиям законодательства Кыргызской Республики и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изучить бизнес-планы, политики и процедуры по управлению рисками информационных систем в целях оценки их адекватности, достаточности и актуальности;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оценить систему управления качеством информационных систем и систему управления операционными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оценить систему обеспечения непрерывности деятельности информационных систем и планов восстановления информационных систем в случае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оценить уровень обеспечения безопасности сети, операционных систем, приложений и баз данных, персонала и физической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оценить систему управления доступом и распределения ролей в автоматизированных системах;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оценить уровень осведомленности персонала оператора платежной системы в области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рассмотреть вопросы соблюдения требований законодательства в отношении прав интеллектуальной собственности и использования лицензионных программных продуктов.";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teaub9k3ytqvxuvafwv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hspfagglop0dqfikdr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7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к автоматизированному терминалу самообслуживания";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98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"Автоматизированный терминал самообслуживания (с функцией сash-in для приема платежей) должен:";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bej1ibts6x5fwmx4oq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Автоматизированный терминал самообслуживания (с функцией сash-out для выдачи денежных средств)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возможность плательщику ознакомиться с краткой инструкцией/информацией по использованию устройства для выдачи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идентификацию и верификацию клиента-получателя денежных средств с применением риск-ориентированного подхода, установленного в процедурах/программах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онлайн-соединение с аппаратно-программным комплексом платежной организации: его размещение должно отвечать требованиям безопасности, установленным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выдавать информацию по комиссии/тарифам за выдачу денежных средств, до момента совершения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быть оснащен устройством по выдаче чека в качестве подтверждения проведенной операции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azypz2tt46rj5tz0ni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Автоматизированный терминал самообслуживания (с функцией сash-out для выдачи денежных средств) должен использоваться платежной организацией только при предоставлении розничных банковских услуг от имени банка при наличии агентского договора с коммерческими банками. Без наличия договора с банком осуществление услуги выдачи денежных средств платежной организацией запрещено.";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juad5icayq8kaqwbc4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Положению "О регулировании деятельности платежных организаций и операторов платежных систем"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ТИТУЛЬНЫЙ ЛИСТ
 периодического регулятивного отчета платежных организаций и операторов платежных систем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(ОсОО/ОАО/ЗАО)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(наименование платежной организации/оператора платежной системы),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действующее на основании лицензии Национального банка № _______, предоставляет регулятивный отчет
 за ______________ 20___ года по платежной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исполнительного органа (ОсОО/ОАО/ЗАО наименование платежной организации/оператора платежной системы):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(должность) _____________________________________________________ фамилия, имя, отчество (при его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(должность) _____________________________________________________ фамилия, имя, отчество (при его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(должность) _____________________________________________________ фамилия, имя, отчество (при его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1 "Сведения о платежной организации/операторе платежной системы"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2 "Сведения о договорах платежной организации/оператора платежной системы"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3 "Сведения о принятых платежах в пользу поставщиков товаров и услуг"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4 "Сведения о принятых платежах в пользу агрегаторов"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5 "Сведения об агентах, объемах и количестве платежей"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6 "Сведения о клиентах/ пользователях МПА, объемах и количестве платежей"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отчета № 7 "Сведения об объеме и количестве платежей в разрезе услуг, проведенных через платежную систему"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руководитель (на период его отсутствия - лицо, его замещающее)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
 ______________________________________
           (должность) (номер тел.)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подписания отчета "___" 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платежной организации/операторе платежной системы
 за _________________ месяц 20___ года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 1-А "Банковские счета"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286"/>
        <w:gridCol w:w="1949"/>
        <w:gridCol w:w="1949"/>
        <w:gridCol w:w="1827"/>
        <w:gridCol w:w="1827"/>
      </w:tblGrid>
      <w:tr>
        <w:tc>
          <w:tcPr>
            <w:tcW w:type="dxa" w:w="3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type="dxa" w:w="38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счета</w:t>
            </w:r>
          </w:p>
        </w:tc>
        <w:tc>
          <w:tcPr>
            <w:tcW w:type="dxa" w:w="3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денежных средств на банковских счетах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гарантийный счет
 (№ счета)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расчетный счет
 (№ счета)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(или эквивалент в сомах)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нац. валюте: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ин. валюте: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1-Б "Участники платежной системы"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8"/>
        <w:gridCol w:w="3290"/>
      </w:tblGrid>
      <w:tr>
        <w:tc>
          <w:tcPr>
            <w:tcW w:type="dxa" w:w="6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участников платежной системы</w:t>
            </w:r>
          </w:p>
        </w:tc>
        <w:tc>
          <w:tcPr>
            <w:tcW w:type="dxa" w:w="3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(указывается количество)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агенты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агрегаторы (платежные организации, комм. банки)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субагенты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лица (указать):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1-С "Пункты приема платежей"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15"/>
        <w:gridCol w:w="3263"/>
      </w:tblGrid>
      <w:tr>
        <w:tc>
          <w:tcPr>
            <w:tcW w:type="dxa" w:w="6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пунктов приема платежей</w:t>
            </w:r>
          </w:p>
        </w:tc>
        <w:tc>
          <w:tcPr>
            <w:tcW w:type="dxa" w:w="3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(указывается количество)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платежные терминалы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терминалы агентов (платежных организаций, комм. банков)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терминалы агентов (ИП, др. юр. лиц)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(указать):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веб-кассы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POS-терминалы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SMS-агенты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  <w:tr>
        <w:tc>
          <w:tcPr>
            <w:tcW w:type="dxa" w:w="6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договорах платежной организации /оператора платежной системы
 за _________________ месяц 20___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действующих договоров: (указать 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заключенных договоров в отчетном месяце: (указать 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перезаключенных договоров в отчетном месяце: (указать количество)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расторгнутых договоров в отчетном месяце: (указать количество)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3445"/>
        <w:gridCol w:w="2802"/>
        <w:gridCol w:w="1608"/>
        <w:gridCol w:w="2050"/>
      </w:tblGrid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организации/ФИО физического лица</w:t>
            </w:r>
          </w:p>
        </w:tc>
        <w:tc>
          <w:tcPr>
            <w:tcW w:type="dxa" w:w="2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 и контактные данные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договора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предоставляемых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с поставщиками товаров/услуг: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с агентами по приему платежей: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с агрегаторами (платежные организации; коммерческие банки принимающие платежи в пользу третьих лиц):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3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принятых платежей в пользу поставщиков товаров и услуг
 за _________________ месяц 20___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2492"/>
        <w:gridCol w:w="1246"/>
        <w:gridCol w:w="1142"/>
        <w:gridCol w:w="1142"/>
        <w:gridCol w:w="1038"/>
        <w:gridCol w:w="1246"/>
        <w:gridCol w:w="1454"/>
      </w:tblGrid>
      <w:tr>
        <w:tc>
          <w:tcPr>
            <w:tcW w:type="dxa" w:w="4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- поставщика товаров и услуг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предоплаты, сом</w:t>
            </w:r>
          </w:p>
        </w:tc>
        <w:tc>
          <w:tcPr>
            <w:tcW w:type="dxa" w:w="22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обеспечения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объем(*) платежей, сом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количество(*) платежей, ед.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произведенной оплаты поставщикам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страхового депозита, сом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гарантия,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указываются данные из </w:t>
      </w:r>
      <w:r>
        <w:rPr>
          <w:rFonts w:ascii="Arial" w:cs="Arial" w:eastAsia="Arial" w:hAnsi="Arial"/>
          <w:sz w:val="24"/>
          <w:szCs w:val="24"/>
        </w:rPr>
        <w:t xml:space="preserve">автоматизированной системы за исключением платежей, проводимых в пользу агрегаторов (платежных организаций и коммерческих банков).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Итоговые значения "Общий объем" и "Общее количество" платежей должны быть равны итоговым значениям, указанным в форме № 7 "Объем и количество платежей по видам предоставляемых услуг".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Указываются данные, взятые из автоматизированной системы, за исключением платежей, проведенных в пользу поставщиков товаров и услуг через агрегаторов.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Платежи, прошедшие в пользу коммерческих банков, выступающих в роли поставщиков своих же банковских услуг, указываются в данной форме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принятых платежах в пользу агрегаторов(*)
 (где организация выступает в качестве агента другой платежной организации, коммерческого банка)
 за _______________ месяц 20___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304"/>
        <w:gridCol w:w="1256"/>
        <w:gridCol w:w="1257"/>
        <w:gridCol w:w="1257"/>
        <w:gridCol w:w="1044"/>
        <w:gridCol w:w="1360"/>
        <w:gridCol w:w="1360"/>
      </w:tblGrid>
      <w:tr>
        <w:tc>
          <w:tcPr>
            <w:tcW w:type="dxa" w:w="3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организации/банка</w:t>
            </w:r>
          </w:p>
        </w:tc>
        <w:tc>
          <w:tcPr>
            <w:tcW w:type="dxa" w:w="12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предоплаты, сом</w:t>
            </w:r>
          </w:p>
        </w:tc>
        <w:tc>
          <w:tcPr>
            <w:tcW w:type="dxa" w:w="25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обеспечения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объем(*) платежей, сом</w:t>
            </w:r>
          </w:p>
        </w:tc>
        <w:tc>
          <w:tcPr>
            <w:tcW w:type="dxa" w:w="13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количество(*) платежей, ед.</w:t>
            </w:r>
          </w:p>
        </w:tc>
        <w:tc>
          <w:tcPr>
            <w:tcW w:type="dxa" w:w="13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произведенной оплаты агрегаторам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страхового депозита, сом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гарантия,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указываются данные из автоматизированной системы, т.е. </w:t>
      </w:r>
      <w:r>
        <w:rPr>
          <w:rFonts w:ascii="Arial" w:cs="Arial" w:eastAsia="Arial" w:hAnsi="Arial"/>
          <w:sz w:val="24"/>
          <w:szCs w:val="24"/>
        </w:rPr>
        <w:t xml:space="preserve">платежи, проведенные в пользу агрегаторов (платежных организаций и коммерческих банков).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 агрегаторами в рамках настоящего отчета понимаются коммерческие банки и платежные организации (их агенты), принимающие и обрабатывающие платежи в пользу третьих лиц, в конечном итоге поступающие в пользу поставщиков товаров/услуг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Указываются данные, взятые из автоматизированной системы прошедших только в пользу поставщиков товаров и услуг через другие платежные организации, коммерческие банки и/или прошедших в пользу платежных организаций, коммерческих банков, которые выступают в качестве агрегатора платежей.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агентах, объемах и количестве платежей
 за ________________ месяц 20___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2036"/>
        <w:gridCol w:w="2545"/>
        <w:gridCol w:w="2443"/>
        <w:gridCol w:w="2748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агентов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пунктов приема платежей: (указать отдельно: кол-во платежных терминалов, веб-касс и др.)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2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через платежные терминалы платежных организаций и коммерческих банков: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через платежные терминалы других агентов (не включенных в 1 пункт):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веб-кассы: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другие пункты приема агентов/субагентов: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клиентах/пользователях МПА, объемах и количестве платежей
 за ________________ месяц 20___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МПА: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агента-разработчика/владельца сервиса МПА: 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систем электронных денег, доступ к которым может быть обеспечен через МПА путем
 привязки электронного кошелька, с указанием наименований банков-эмитентов/банков-агентов МСЭД: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банков, чьи банковские платежные карты могут быть привязаны к МПА (эквайринг):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__________________________________________________________________________________________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 1-А "Объем и количество платежей через МПА"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2"/>
        <w:gridCol w:w="3701"/>
        <w:gridCol w:w="2827"/>
        <w:gridCol w:w="2827"/>
      </w:tblGrid>
      <w:tr>
        <w:tc>
          <w:tcPr>
            <w:tcW w:type="dxa" w:w="8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активных пользователей МПА</w:t>
            </w:r>
          </w:p>
        </w:tc>
        <w:tc>
          <w:tcPr>
            <w:tcW w:type="dxa" w:w="5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возврата авансовых платежей (предоплаты)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2493"/>
        <w:gridCol w:w="1869"/>
        <w:gridCol w:w="1869"/>
        <w:gridCol w:w="1714"/>
        <w:gridCol w:w="1714"/>
      </w:tblGrid>
      <w:tr>
        <w:tc>
          <w:tcPr>
            <w:tcW w:type="dxa" w:w="5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пользователей МПА - клиентов банков</w:t>
            </w:r>
          </w:p>
        </w:tc>
        <w:tc>
          <w:tcPr>
            <w:tcW w:type="dxa" w:w="37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привязанные банковские карты</w:t>
            </w:r>
          </w:p>
        </w:tc>
        <w:tc>
          <w:tcPr>
            <w:tcW w:type="dxa" w:w="3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привязанные электронные кошельки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 1-Б "Количество пользователей МПА"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3843"/>
        <w:gridCol w:w="2596"/>
        <w:gridCol w:w="3116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пользователей МПА</w:t>
            </w:r>
          </w:p>
        </w:tc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отчетном периоде (прирост (+ед.))</w:t>
            </w:r>
          </w:p>
        </w:tc>
        <w:tc>
          <w:tcPr>
            <w:tcW w:type="dxa" w:w="3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на конец отчетного периода (ед.)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зарегистрированных в системе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идентифицированных пользователей МПА, из них: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идентифицированных платежной организацией/агентом, из них: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посредством сверки изображений (в автоматизированном режиме)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посредством сеанса видеосвязи (путем проведения интервью)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идентифицированных банком-партнером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объеме и количестве платежей в разрезе услуг, проведенных через платежную систему
 за ________________ месяц 20___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5504"/>
        <w:gridCol w:w="2181"/>
        <w:gridCol w:w="1973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платежа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 (ед.)</w:t>
            </w:r>
          </w:p>
        </w:tc>
        <w:tc>
          <w:tcPr>
            <w:tcW w:type="dxa" w:w="1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
 (тыс. сом)</w:t>
            </w:r>
          </w:p>
        </w:tc>
      </w:tr>
      <w:tr>
        <w:tc>
          <w:tcPr>
            <w:tcW w:type="dxa" w:w="602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Мобильная связь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Фиксированная телефонная связь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сборы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в ГУОБДД МВД КР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платежи в бюджет государства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банковского счета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кредит ФКО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банковские услуги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электронного кошелька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Интернет-магазины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сети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Интернет-игры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счета в других интернет-приложениях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 такси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Рекламные услуги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Объявления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Благотворительность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Туристические поездки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платежи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Итоговые значения "Объем" и "Количество" платежей должны быть равны итоговым значениям указанных в форме 3 "Сведения о произведенной оплате в пользу поставщиков товаров и услуг".".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_uux9ej_m7gy2b1cp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dalil.kg/document/800480</w:t>
      </w:r>
    </w:hyperlink>
  </w:p>
  <w:p>
    <w:pPr>
      <w:spacing w:after="0" w:before="40"/>
      <w:jc w:val="center"/>
    </w:pPr>
    <w:hyperlink w:history="1" r:id="rIdwbnjspugbatnvm_zimu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8uuh8x3ns1t5gs3k95e" Type="http://schemas.openxmlformats.org/officeDocument/2006/relationships/hyperlink" Target="https://dalil.kg/document/111486#st_20" TargetMode="External"/><Relationship Id="rIdvbdnyhzc7j2mc41eerc0_" Type="http://schemas.openxmlformats.org/officeDocument/2006/relationships/hyperlink" Target="https://dalil.kg/document/111486#st_68" TargetMode="External"/><Relationship Id="rIdth961ru7dxh8pupubyy-u" Type="http://schemas.openxmlformats.org/officeDocument/2006/relationships/hyperlink" Target="https://dalil.kg/document/205425#st_26" TargetMode="External"/><Relationship Id="rIdwngg1ua8zfhgzm09xarfi" Type="http://schemas.openxmlformats.org/officeDocument/2006/relationships/hyperlink" Target="https://dalil.kg/document/800701" TargetMode="External"/><Relationship Id="rIduxunzccrmsubigqazsf6k" Type="http://schemas.openxmlformats.org/officeDocument/2006/relationships/hyperlink" Target="https://dalil.kg/document/800702" TargetMode="External"/><Relationship Id="rIdwjuvqsmwlwdxercpjj4al" Type="http://schemas.openxmlformats.org/officeDocument/2006/relationships/hyperlink" Target="https://dalil.kg/document/800701" TargetMode="External"/><Relationship Id="rIdapmxmjbr0fp9exjf2__zd" Type="http://schemas.openxmlformats.org/officeDocument/2006/relationships/hyperlink" Target="https://dalil.kg/document/800702" TargetMode="External"/><Relationship Id="rId9slftweakwu9vqpkzmxpl" Type="http://schemas.openxmlformats.org/officeDocument/2006/relationships/hyperlink" Target="https://dalil.kg/document/800702" TargetMode="External"/><Relationship Id="rIdk4eo-bmha4o2zhbeyt1js" Type="http://schemas.openxmlformats.org/officeDocument/2006/relationships/hyperlink" Target="https://dalil.kg/document/800701" TargetMode="External"/><Relationship Id="rId5nhttzq6k2gnz9fll3baa" Type="http://schemas.openxmlformats.org/officeDocument/2006/relationships/hyperlink" Target="https://dalil.kg/document/800702#gl3" TargetMode="External"/><Relationship Id="rIdpxycerzqpip1wrbog1oen" Type="http://schemas.openxmlformats.org/officeDocument/2006/relationships/hyperlink" Target="https://dalil.kg/document/800702#gl3" TargetMode="External"/><Relationship Id="rIda0mriigrtzvjoae_grmmi" Type="http://schemas.openxmlformats.org/officeDocument/2006/relationships/hyperlink" Target="https://dalil.kg/document/800702#pr" TargetMode="External"/><Relationship Id="rId6ch-i_ltw6qz5d_qgjobx" Type="http://schemas.openxmlformats.org/officeDocument/2006/relationships/hyperlink" Target="https://dalil.kg/document/800702#pr" TargetMode="External"/><Relationship Id="rIdt_t1jcfdtq7wacma0uum1" Type="http://schemas.openxmlformats.org/officeDocument/2006/relationships/hyperlink" Target="https://dalil.kg/document/800702#pr" TargetMode="External"/><Relationship Id="rIdv4azyjdiwwpzopwkuzfu5" Type="http://schemas.openxmlformats.org/officeDocument/2006/relationships/hyperlink" Target="https://dalil.kg/document/800702#pr" TargetMode="External"/><Relationship Id="rIddke4ssgw6ab9sfns3_94r" Type="http://schemas.openxmlformats.org/officeDocument/2006/relationships/hyperlink" Target="https://dalil.kg/document/800702#pr" TargetMode="External"/><Relationship Id="rId8_psl4la6d6lnc9dv1h2z" Type="http://schemas.openxmlformats.org/officeDocument/2006/relationships/hyperlink" Target="https://dalil.kg/document/800702#pr" TargetMode="External"/><Relationship Id="rIdteaub9k3ytqvxuvafwvpf" Type="http://schemas.openxmlformats.org/officeDocument/2006/relationships/hyperlink" Target="https://dalil.kg/document/800702#gl7" TargetMode="External"/><Relationship Id="rIdihspfagglop0dqfikdrla" Type="http://schemas.openxmlformats.org/officeDocument/2006/relationships/hyperlink" Target="https://dalil.kg/document/800702#gl7" TargetMode="External"/><Relationship Id="rIdvbej1ibts6x5fwmx4oqj0" Type="http://schemas.openxmlformats.org/officeDocument/2006/relationships/hyperlink" Target="https://dalil.kg/document/800702#pr" TargetMode="External"/><Relationship Id="rIdtazypz2tt46rj5tz0nisv" Type="http://schemas.openxmlformats.org/officeDocument/2006/relationships/hyperlink" Target="https://dalil.kg/document/800702#pr" TargetMode="External"/><Relationship Id="rIdqjuad5icayq8kaqwbc48p" Type="http://schemas.openxmlformats.org/officeDocument/2006/relationships/hyperlink" Target="https://dalil.kg/document/800702#pr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_uux9ej_m7gy2b1cphw" Type="http://schemas.openxmlformats.org/officeDocument/2006/relationships/hyperlink" Target="https://dalil.kg/document/800480" TargetMode="External"/><Relationship Id="rIdwbnjspugbatnvm_zimu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2026-09-25T08:06:05.720Z</dcterms:created>
  <dcterms:modified xsi:type="dcterms:W3CDTF">2026-09-25T08:06:05.720Z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