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rcsxqy_k9ybuwkq5jmh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w:t>
      </w:r>
    </w:p>
    <w:p>
      <w:pPr>
        <w:spacing w:after="120"/>
        <w:jc w:val="center"/>
      </w:pPr>
      <w:r>
        <w:rPr>
          <w:rFonts w:ascii="Arial" w:cs="Arial" w:eastAsia="Arial" w:hAnsi="Arial"/>
          <w:i/>
          <w:iCs/>
          <w:sz w:val="24"/>
          <w:szCs w:val="24"/>
        </w:rPr>
        <w:t xml:space="preserve">28 сентября 2022 года № 2022-П-12/60-2</w:t>
      </w:r>
    </w:p>
    <w:p>
      <w:pPr>
        <w:spacing w:after="120"/>
        <w:jc w:val="center"/>
      </w:pPr>
      <w:r>
        <w:rPr>
          <w:rFonts w:ascii="Arial" w:cs="Arial" w:eastAsia="Arial" w:hAnsi="Arial"/>
          <w:i/>
          <w:iCs/>
          <w:sz w:val="24"/>
          <w:szCs w:val="24"/>
        </w:rPr>
        <w:t xml:space="preserve">Приложение
 к </w:t>
      </w:r>
      <w:hyperlink w:history="1" r:id="rIdv1eywhjsxfbptzvmbqa9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Правления Национального банка Кыргызской Республики
 от 29 апреля 2020 года № 2020-П-12/25-7-(НПА)</w:t>
      </w:r>
    </w:p>
    <w:p>
      <w:pPr>
        <w:spacing w:after="400" w:before="400"/>
        <w:ind w:firstLine="397"/>
        <w:jc w:val="center"/>
      </w:pPr>
      <w:r>
        <w:rPr>
          <w:rFonts w:ascii="Arial" w:cs="Arial" w:eastAsia="Arial" w:hAnsi="Arial"/>
          <w:b/>
          <w:bCs/>
          <w:sz w:val="24"/>
          <w:szCs w:val="24"/>
        </w:rPr>
        <w:t xml:space="preserve">Временные правила</w:t>
      </w:r>
      <w:r>
        <w:rPr>
          <w:rFonts w:ascii="Arial" w:cs="Arial" w:eastAsia="Arial" w:hAnsi="Arial"/>
          <w:b/>
          <w:bCs/>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w:t>
      </w:r>
    </w:p>
    <w:p>
      <w:pPr>
        <w:spacing w:after="120"/>
        <w:ind w:firstLine="397"/>
        <w:jc w:val="center"/>
      </w:pPr>
      <w:r>
        <w:rPr>
          <w:rFonts w:ascii="Arial" w:cs="Arial" w:eastAsia="Arial" w:hAnsi="Arial"/>
          <w:i/>
          <w:iCs/>
          <w:sz w:val="24"/>
          <w:szCs w:val="24"/>
        </w:rPr>
        <w:t xml:space="preserve">(В редакции постановлений Правления Нацбанка КР от 17 июня 2020 года № 2020-П-33/35-1, </w:t>
      </w:r>
      <w:hyperlink w:history="1" r:id="rIdhqd86_g1y3mnv6ku5qdzi">
        <w:r>
          <w:rPr>
            <w:rFonts w:ascii="Arial" w:cs="Arial" w:eastAsia="Arial" w:hAnsi="Arial"/>
            <w:i/>
            <w:iCs/>
            <w:color w:val="1D4ED8"/>
            <w:sz w:val="24"/>
            <w:szCs w:val="24"/>
            <w:u w:val="single"/>
          </w:rPr>
          <w:t xml:space="preserve">19 мая 2021 года № 2021-П-12/25-2</w:t>
        </w:r>
      </w:hyperlink>
      <w:r>
        <w:rPr>
          <w:rFonts w:ascii="Arial" w:cs="Arial" w:eastAsia="Arial" w:hAnsi="Arial"/>
          <w:i/>
          <w:iCs/>
          <w:sz w:val="24"/>
          <w:szCs w:val="24"/>
        </w:rPr>
        <w:t xml:space="preserve">,  </w:t>
      </w:r>
      <w:hyperlink w:history="1" r:id="rIdbrdud3aekubfb6yzb-z4t">
        <w:r>
          <w:rPr>
            <w:rFonts w:ascii="Arial" w:cs="Arial" w:eastAsia="Arial" w:hAnsi="Arial"/>
            <w:i/>
            <w:iCs/>
            <w:color w:val="1D4ED8"/>
            <w:sz w:val="24"/>
            <w:szCs w:val="24"/>
            <w:u w:val="single"/>
          </w:rPr>
          <w:t xml:space="preserve">19 мая 2021 года № 2021-П-12/25-3</w:t>
        </w:r>
      </w:hyperlink>
      <w:r>
        <w:rPr>
          <w:rFonts w:ascii="Arial" w:cs="Arial" w:eastAsia="Arial" w:hAnsi="Arial"/>
          <w:i/>
          <w:iCs/>
          <w:sz w:val="24"/>
          <w:szCs w:val="24"/>
        </w:rPr>
        <w:t xml:space="preserve">, </w:t>
      </w:r>
      <w:hyperlink w:history="1" r:id="rIdtw8hm-opktqklpqgnzfte">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Временные правила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(далее – Временные правила) определяют временный порядок классификации коммерческими банками и микрофинансовыми компаниями, имеющими право на привлечение депозитов, гарантийными фондами и ОАО «Финансовая компания кредитных союзов» (далее – банки) активов, качество которых ухудшилось или ухудшается ввиду распространения коронавирусной инфекции и связанных с ней ограничительных мер, принятых государственными органами, а также в связи с текущей геополитической ситуацией и влиянием негативных последствий внешнеэкономического шока. </w:t>
      </w:r>
    </w:p>
    <w:p>
      <w:pPr>
        <w:spacing w:after="60"/>
        <w:ind w:firstLine="567"/>
        <w:jc w:val="both"/>
      </w:pPr>
      <w:r>
        <w:rPr>
          <w:rFonts w:ascii="Arial" w:cs="Arial" w:eastAsia="Arial" w:hAnsi="Arial"/>
          <w:sz w:val="24"/>
          <w:szCs w:val="24"/>
        </w:rPr>
        <w:t xml:space="preserve">Данные Временные правила не распространяются на вновь выданные кредиты банков, за исключением кредитов, выдаваемых по целевым государственным программам Кабинета Министров Кыргызской Республики или программам в целях возобновления/активизации деятельности физических и юридических лиц, а также кредитов, указанных в главе 7 настоящих Временных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июня 2020 года № 2020-П-33/35-1</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e7rd8zljbxb60lpvkhor">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Глава 2. Общие указания по классификации активов</w:t>
      </w:r>
    </w:p>
    <w:p>
      <w:pPr>
        <w:spacing w:after="60"/>
        <w:ind w:firstLine="567"/>
        <w:jc w:val="both"/>
      </w:pPr>
      <w:r>
        <w:rPr>
          <w:rFonts w:ascii="Arial" w:cs="Arial" w:eastAsia="Arial" w:hAnsi="Arial"/>
          <w:sz w:val="24"/>
          <w:szCs w:val="24"/>
        </w:rPr>
        <w:t xml:space="preserve">2. В случае наличия у заемщика (физического или юридического лица) нескольких кредитов в одном банке или внутри банковской группы банк вправе не применять наихудшую категорию классификации для всех кредитов, если наихудшая категория присвоена кредиту заемщика, финансовое состояние которого ухудшилось или ухудшается ввиду распространения коронавирусной инфекции и связанных с ней ограничительных мер, принятых государственными органами, а также в связи с текущей геополитической ситуацией и влиянием негативных последствий внешнеэкономического шока. </w:t>
      </w:r>
    </w:p>
    <w:p>
      <w:pPr>
        <w:spacing w:after="60"/>
        <w:ind w:firstLine="567"/>
        <w:jc w:val="both"/>
      </w:pPr>
      <w:r>
        <w:rPr>
          <w:rFonts w:ascii="Arial" w:cs="Arial" w:eastAsia="Arial" w:hAnsi="Arial"/>
          <w:sz w:val="24"/>
          <w:szCs w:val="24"/>
        </w:rPr>
        <w:t xml:space="preserve">В данном случае банк может применять категорию классификации для каждого кредита в отдельности в соответствии с характерными признаками категории.»;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ox_72fzuexumujcai-fp">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Вновь выданные кредиты по целевым государственным программам Кабинета Министров Кыргызской Республики или программам в целях возобновления/активизации деятельности физических и юридических лиц первоначально признаются как "нормальные" или "удовлетворительные" активы, согласно характерным признакам, установленным </w:t>
      </w:r>
      <w:hyperlink w:history="1" r:id="rIdiexp6ttt6s_9lel5gzoc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(далее - Положение "О классификации активов и соответствующих отчислениях в резерв на покрытие потенциальных потерь и убытков"), утвержденным </w:t>
      </w:r>
      <w:hyperlink w:history="1" r:id="rIdirkguo7ghpte7mb-sil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 18/3.</w:t>
      </w:r>
    </w:p>
    <w:p>
      <w:pPr>
        <w:spacing w:after="60"/>
        <w:ind w:firstLine="567"/>
        <w:jc w:val="both"/>
      </w:pPr>
      <w:r>
        <w:rPr>
          <w:rFonts w:ascii="Arial" w:cs="Arial" w:eastAsia="Arial" w:hAnsi="Arial"/>
          <w:sz w:val="24"/>
          <w:szCs w:val="24"/>
        </w:rPr>
        <w:t xml:space="preserve">Последующая классификация данных активов осуществляется в соответствии с требованиями настоящих Временных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jycsajzd5kxw79wouw8a">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3. Неклассифицированные активы</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qoyqghdy790n06bqj9wu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19 мая 2021 года № 2021-П-12/25-3)</w:t>
      </w:r>
    </w:p>
    <w:p>
      <w:pPr>
        <w:spacing w:after="60"/>
        <w:ind w:firstLine="567"/>
        <w:jc w:val="both"/>
      </w:pPr>
      <w:r>
        <w:rPr>
          <w:rFonts w:ascii="Arial" w:cs="Arial" w:eastAsia="Arial" w:hAnsi="Arial"/>
          <w:sz w:val="24"/>
          <w:szCs w:val="24"/>
        </w:rPr>
        <w:t xml:space="preserve">5. Характерными признаками, при проявлении которых актив можно считать "активом под наблюдением", являются:</w:t>
      </w:r>
    </w:p>
    <w:p>
      <w:pPr>
        <w:spacing w:after="60"/>
        <w:ind w:firstLine="567"/>
        <w:jc w:val="both"/>
      </w:pPr>
      <w:r>
        <w:rPr>
          <w:rFonts w:ascii="Arial" w:cs="Arial" w:eastAsia="Arial" w:hAnsi="Arial"/>
          <w:sz w:val="24"/>
          <w:szCs w:val="24"/>
        </w:rPr>
        <w:t xml:space="preserve">1) неполное обеспечение актива, в остальном имеющего все характеристики, присущие "удовлетворительным" активам, либо обеспечение в рамках контрактного финансирования (например, право требования по финансируемому контракту, дебиторская задолженность и т.д.);</w:t>
      </w:r>
    </w:p>
    <w:p>
      <w:pPr>
        <w:spacing w:after="60"/>
        <w:ind w:firstLine="567"/>
        <w:jc w:val="both"/>
      </w:pPr>
      <w:r>
        <w:rPr>
          <w:rFonts w:ascii="Arial" w:cs="Arial" w:eastAsia="Arial" w:hAnsi="Arial"/>
          <w:sz w:val="24"/>
          <w:szCs w:val="24"/>
        </w:rPr>
        <w:t xml:space="preserve">2) просроченность возврата/платежей по основной сумме и/или процентам, на срок не более 60 дней;</w:t>
      </w:r>
    </w:p>
    <w:p>
      <w:pPr>
        <w:spacing w:after="60"/>
        <w:ind w:firstLine="567"/>
        <w:jc w:val="both"/>
      </w:pPr>
      <w:r>
        <w:rPr>
          <w:rFonts w:ascii="Arial" w:cs="Arial" w:eastAsia="Arial" w:hAnsi="Arial"/>
          <w:sz w:val="24"/>
          <w:szCs w:val="24"/>
        </w:rPr>
        <w:t xml:space="preserve">3) невозможность для банка проводить мониторинг залога из-за недостаточной документации, либо из-за отсутствия экспертов по его оценке, за исключением случаев, связанных с ограничениями, введенными в связи с распространением коронавирусной инфекции (при наличии обоснованного заключения банка);</w:t>
      </w:r>
    </w:p>
    <w:p>
      <w:pPr>
        <w:spacing w:after="60"/>
        <w:ind w:firstLine="567"/>
        <w:jc w:val="both"/>
      </w:pPr>
      <w:r>
        <w:rPr>
          <w:rFonts w:ascii="Arial" w:cs="Arial" w:eastAsia="Arial" w:hAnsi="Arial"/>
          <w:sz w:val="24"/>
          <w:szCs w:val="24"/>
        </w:rPr>
        <w:t xml:space="preserve">4) намечающееся уменьшение ликвидности залога (снижение цен, изменение курса валют) либо если актив обеспечен гарантией/поручительством – получение банком информации об ухудшении финансового состояния гаранта/поручителя;»;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i8fa56nmeig5knqysln5">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изменение рыночных условий, которые могут повлиять на возврат актива;</w:t>
      </w:r>
    </w:p>
    <w:p>
      <w:pPr>
        <w:spacing w:after="60"/>
        <w:ind w:firstLine="567"/>
        <w:jc w:val="both"/>
      </w:pPr>
      <w:r>
        <w:rPr>
          <w:rFonts w:ascii="Arial" w:cs="Arial" w:eastAsia="Arial" w:hAnsi="Arial"/>
          <w:sz w:val="24"/>
          <w:szCs w:val="24"/>
        </w:rPr>
        <w:t xml:space="preserve">6) реструктуризация классифицированных активов, которые подпадают под условия пункта 7.6. </w:t>
      </w:r>
      <w:hyperlink w:history="1" r:id="rIduxzn_cojpqorgaf7t__n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7) повторное изменение условий договора по кредиту путем перевода валюты данного кредита из одной валюты в другую в случае, если этот кредит ранее не входил в категорию классифицированных кредитов и при этом, если данное изменение не связано с ухудшением финансового состояния клиента.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июня 2020 года № 2020-П-33/35-1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Кредиты необходимо классифицировать как "актив под наблюдением" с формированием РППУ в размере 5%, в случае если график погашения вновь выданного кредита предусматривает погашение основной суммы не на ежемесячной основе, при этом погашение более 80% основной суммы предусмотрено по истечению:</w:t>
      </w:r>
    </w:p>
    <w:p>
      <w:pPr>
        <w:spacing w:after="60"/>
        <w:ind w:firstLine="567"/>
        <w:jc w:val="both"/>
      </w:pPr>
      <w:r>
        <w:rPr>
          <w:rFonts w:ascii="Arial" w:cs="Arial" w:eastAsia="Arial" w:hAnsi="Arial"/>
          <w:sz w:val="24"/>
          <w:szCs w:val="24"/>
        </w:rPr>
        <w:t xml:space="preserve">- 3/4 от общего срока кредита, при этом общий срок кредитного периода менее 3 лет;</w:t>
      </w:r>
    </w:p>
    <w:p>
      <w:pPr>
        <w:spacing w:after="60"/>
        <w:ind w:firstLine="567"/>
        <w:jc w:val="both"/>
      </w:pPr>
      <w:r>
        <w:rPr>
          <w:rFonts w:ascii="Arial" w:cs="Arial" w:eastAsia="Arial" w:hAnsi="Arial"/>
          <w:sz w:val="24"/>
          <w:szCs w:val="24"/>
        </w:rPr>
        <w:t xml:space="preserve">- 1/2 от общего срока кредита, при этом общий срок кредитного периода более 3 лет, за исключением:</w:t>
      </w:r>
    </w:p>
    <w:p>
      <w:pPr>
        <w:spacing w:after="60"/>
        <w:ind w:firstLine="567"/>
        <w:jc w:val="both"/>
      </w:pPr>
      <w:r>
        <w:rPr>
          <w:rFonts w:ascii="Arial" w:cs="Arial" w:eastAsia="Arial" w:hAnsi="Arial"/>
          <w:sz w:val="24"/>
          <w:szCs w:val="24"/>
        </w:rPr>
        <w:t xml:space="preserve">- кредитов, выданных по целевым государственным программам Кабинета Министров Кыргызской Республики и предусматривающих предоставление льготного периода погашения кредита;</w:t>
      </w:r>
    </w:p>
    <w:p>
      <w:pPr>
        <w:spacing w:after="60"/>
        <w:ind w:firstLine="567"/>
        <w:jc w:val="both"/>
      </w:pPr>
      <w:r>
        <w:rPr>
          <w:rFonts w:ascii="Arial" w:cs="Arial" w:eastAsia="Arial" w:hAnsi="Arial"/>
          <w:sz w:val="24"/>
          <w:szCs w:val="24"/>
        </w:rPr>
        <w:t xml:space="preserve">- кредитов, выданных по программам, предусматривающим предоставление льготного периода погашения кредита в целях возобновления/активизации деятельности физических и юридических лиц;</w:t>
      </w:r>
    </w:p>
    <w:p>
      <w:pPr>
        <w:spacing w:after="60"/>
        <w:ind w:firstLine="567"/>
        <w:jc w:val="both"/>
      </w:pPr>
      <w:r>
        <w:rPr>
          <w:rFonts w:ascii="Arial" w:cs="Arial" w:eastAsia="Arial" w:hAnsi="Arial"/>
          <w:sz w:val="24"/>
          <w:szCs w:val="24"/>
        </w:rPr>
        <w:t xml:space="preserve">- межбанковских кредитов, в том числе кредитов, выданных микрофинансовым организациям;</w:t>
      </w:r>
    </w:p>
    <w:p>
      <w:pPr>
        <w:spacing w:after="60"/>
        <w:ind w:firstLine="567"/>
        <w:jc w:val="both"/>
      </w:pPr>
      <w:r>
        <w:rPr>
          <w:rFonts w:ascii="Arial" w:cs="Arial" w:eastAsia="Arial" w:hAnsi="Arial"/>
          <w:sz w:val="24"/>
          <w:szCs w:val="24"/>
        </w:rPr>
        <w:t xml:space="preserve">- на сумму менее 1% от ЧСК в совокупности выданных одному заемщику.</w:t>
      </w:r>
    </w:p>
    <w:p>
      <w:pPr>
        <w:spacing w:after="60"/>
        <w:ind w:firstLine="567"/>
        <w:jc w:val="both"/>
      </w:pPr>
      <w:r>
        <w:rPr>
          <w:rFonts w:ascii="Arial" w:cs="Arial" w:eastAsia="Arial" w:hAnsi="Arial"/>
          <w:sz w:val="24"/>
          <w:szCs w:val="24"/>
        </w:rPr>
        <w:t xml:space="preserve">Данные кредиты должны классифицироваться, согласно пункту 3 настоящих Временных правил.</w:t>
      </w:r>
    </w:p>
    <w:p>
      <w:pPr>
        <w:spacing w:after="200" w:before="200"/>
        <w:ind w:firstLine="397"/>
        <w:jc w:val="center"/>
      </w:pPr>
      <w:r>
        <w:rPr>
          <w:rFonts w:ascii="Arial" w:cs="Arial" w:eastAsia="Arial" w:hAnsi="Arial"/>
          <w:b/>
          <w:bCs/>
          <w:sz w:val="24"/>
          <w:szCs w:val="24"/>
        </w:rPr>
        <w:t xml:space="preserve">Глава 4. Классифицированные активы</w:t>
      </w:r>
    </w:p>
    <w:p>
      <w:pPr>
        <w:spacing w:after="60"/>
        <w:ind w:firstLine="567"/>
        <w:jc w:val="both"/>
      </w:pPr>
      <w:r>
        <w:rPr>
          <w:rFonts w:ascii="Arial" w:cs="Arial" w:eastAsia="Arial" w:hAnsi="Arial"/>
          <w:sz w:val="24"/>
          <w:szCs w:val="24"/>
        </w:rPr>
        <w:t xml:space="preserve">7. Характерными признаками, при проявлении которых актив можно считать "субстандартным", являются:</w:t>
      </w:r>
    </w:p>
    <w:p>
      <w:pPr>
        <w:spacing w:after="60"/>
        <w:ind w:firstLine="567"/>
        <w:jc w:val="both"/>
      </w:pPr>
      <w:r>
        <w:rPr>
          <w:rFonts w:ascii="Arial" w:cs="Arial" w:eastAsia="Arial" w:hAnsi="Arial"/>
          <w:sz w:val="24"/>
          <w:szCs w:val="24"/>
        </w:rPr>
        <w:t xml:space="preserve">1) просроченная задолженность по плановым платежам от 60 до 180 дней;</w:t>
      </w:r>
    </w:p>
    <w:p>
      <w:pPr>
        <w:spacing w:after="60"/>
        <w:ind w:firstLine="567"/>
        <w:jc w:val="both"/>
      </w:pPr>
      <w:r>
        <w:rPr>
          <w:rFonts w:ascii="Arial" w:cs="Arial" w:eastAsia="Arial" w:hAnsi="Arial"/>
          <w:sz w:val="24"/>
          <w:szCs w:val="24"/>
        </w:rPr>
        <w:t xml:space="preserve">2) недостаточные денежные потоки для оплаты задолженности;</w:t>
      </w:r>
    </w:p>
    <w:p>
      <w:pPr>
        <w:spacing w:after="60"/>
        <w:ind w:firstLine="567"/>
        <w:jc w:val="both"/>
      </w:pPr>
      <w:r>
        <w:rPr>
          <w:rFonts w:ascii="Arial" w:cs="Arial" w:eastAsia="Arial" w:hAnsi="Arial"/>
          <w:sz w:val="24"/>
          <w:szCs w:val="24"/>
        </w:rPr>
        <w:t xml:space="preserve">3) наличие у заемщика-физического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w:t>
      </w:r>
    </w:p>
    <w:p>
      <w:pPr>
        <w:spacing w:after="60"/>
        <w:ind w:firstLine="567"/>
        <w:jc w:val="both"/>
      </w:pPr>
      <w:r>
        <w:rPr>
          <w:rFonts w:ascii="Arial" w:cs="Arial" w:eastAsia="Arial" w:hAnsi="Arial"/>
          <w:sz w:val="24"/>
          <w:szCs w:val="24"/>
        </w:rPr>
        <w:t xml:space="preserve">- кредитов, выданных по целевым государственным программам Кабинета Министров Кыргызской Республики, в данном банке и/или другой финансово-кредитной организации;  </w:t>
      </w:r>
    </w:p>
    <w:p>
      <w:pPr>
        <w:spacing w:after="60"/>
        <w:ind w:firstLine="567"/>
        <w:jc w:val="both"/>
      </w:pPr>
      <w:r>
        <w:rPr>
          <w:rFonts w:ascii="Arial" w:cs="Arial" w:eastAsia="Arial" w:hAnsi="Arial"/>
          <w:sz w:val="24"/>
          <w:szCs w:val="24"/>
        </w:rPr>
        <w:t xml:space="preserve">- кредитов, выданных по программам, предусматривающим предоставление льготного периода погашения кредита в целях возобновления/активизации деятельности физических и юридических лиц;  </w:t>
      </w:r>
    </w:p>
    <w:p>
      <w:pPr>
        <w:spacing w:after="60"/>
        <w:ind w:firstLine="567"/>
        <w:jc w:val="both"/>
      </w:pPr>
      <w:r>
        <w:rPr>
          <w:rFonts w:ascii="Arial" w:cs="Arial" w:eastAsia="Arial" w:hAnsi="Arial"/>
          <w:sz w:val="24"/>
          <w:szCs w:val="24"/>
        </w:rPr>
        <w:t xml:space="preserve">- кредитов, просроченная задолженность по которым возникла ввиду распространения коронавирусной инфекции и связанных с ней ограничений; </w:t>
      </w:r>
    </w:p>
    <w:p>
      <w:pPr>
        <w:spacing w:after="60"/>
        <w:ind w:firstLine="567"/>
        <w:jc w:val="both"/>
      </w:pPr>
      <w:r>
        <w:rPr>
          <w:rFonts w:ascii="Arial" w:cs="Arial" w:eastAsia="Arial" w:hAnsi="Arial"/>
          <w:sz w:val="24"/>
          <w:szCs w:val="24"/>
        </w:rPr>
        <w:t xml:space="preserve">- кредитов, просроченная задолженность по которым возникла в ввиду влияния текущей геополитической ситуации и негативных последствий внешнеэкономического шока;»;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p0lzqnnzopeiq3bmfsh6">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наличие просроченной задолженности по основной сумме и/или процентам более 60 дней по кредиту супруга(и), родителей и детей заемщика - физического лица, в том числе индивидуального предпринимателя без образования юридического лица, перед данным банком и/или другими финансово-кредитными организациями, за исключением кредитов, выданных им по целевым государственным программам Кабинета Министров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5) снижение стоимости залога, ухудшение его качества, залог становится труднореализуемым либо если актив обеспечен гарантией/поручительством - получение банком информации об ухудшении финансового состояния гаранта/поручителя.</w:t>
      </w:r>
    </w:p>
    <w:p>
      <w:pPr>
        <w:spacing w:after="60"/>
        <w:ind w:firstLine="567"/>
        <w:jc w:val="both"/>
      </w:pPr>
      <w:r>
        <w:rPr>
          <w:rFonts w:ascii="Arial" w:cs="Arial" w:eastAsia="Arial" w:hAnsi="Arial"/>
          <w:sz w:val="24"/>
          <w:szCs w:val="24"/>
        </w:rPr>
        <w:t xml:space="preserve">Примечание: Признаки, указанные в подпунктах 3 и 4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июня 2020 года № 2020-П-33/35-1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Актив должен классифицироваться как "субстандартный" при просроченной задолженности от 180 до 270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4.1 </w:t>
      </w:r>
      <w:hyperlink w:history="1" r:id="rIdk8bpjcb_bzudqsrd0ixs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Актив, полностью обеспеченный поручительством/гарантией, необходимо классифицировать как "субстандартный" при наступлении 90-го дня с момента возникновения просроченной задолженности по платежам, то есть до наступления срока, указанного в первом абзаце настоящего пункта.</w:t>
      </w:r>
    </w:p>
    <w:p>
      <w:pPr>
        <w:spacing w:after="60"/>
        <w:ind w:firstLine="567"/>
        <w:jc w:val="both"/>
      </w:pPr>
      <w:r>
        <w:rPr>
          <w:rFonts w:ascii="Arial" w:cs="Arial" w:eastAsia="Arial" w:hAnsi="Arial"/>
          <w:sz w:val="24"/>
          <w:szCs w:val="24"/>
        </w:rPr>
        <w:t xml:space="preserve">9. Характерными признаками, при проявлении которых актив можно считать "сомнительным", являются:</w:t>
      </w:r>
    </w:p>
    <w:p>
      <w:pPr>
        <w:spacing w:after="60"/>
        <w:ind w:firstLine="567"/>
        <w:jc w:val="both"/>
      </w:pPr>
      <w:r>
        <w:rPr>
          <w:rFonts w:ascii="Arial" w:cs="Arial" w:eastAsia="Arial" w:hAnsi="Arial"/>
          <w:sz w:val="24"/>
          <w:szCs w:val="24"/>
        </w:rPr>
        <w:t xml:space="preserve">1) просроченная задолженность по основной сумме и/или процентам составляет от 180 до 270 дней;</w:t>
      </w:r>
    </w:p>
    <w:p>
      <w:pPr>
        <w:spacing w:after="60"/>
        <w:ind w:firstLine="567"/>
        <w:jc w:val="both"/>
      </w:pPr>
      <w:r>
        <w:rPr>
          <w:rFonts w:ascii="Arial" w:cs="Arial" w:eastAsia="Arial" w:hAnsi="Arial"/>
          <w:sz w:val="24"/>
          <w:szCs w:val="24"/>
        </w:rPr>
        <w:t xml:space="preserve">2) финансовое состояние клиента серьезно ухудшилось (либо клиент находится на грани банкротства);</w:t>
      </w:r>
    </w:p>
    <w:p>
      <w:pPr>
        <w:spacing w:after="60"/>
        <w:ind w:firstLine="567"/>
        <w:jc w:val="both"/>
      </w:pPr>
      <w:r>
        <w:rPr>
          <w:rFonts w:ascii="Arial" w:cs="Arial" w:eastAsia="Arial" w:hAnsi="Arial"/>
          <w:sz w:val="24"/>
          <w:szCs w:val="24"/>
        </w:rPr>
        <w:t xml:space="preserve">3) состояние залога плохое или он отсутствует;</w:t>
      </w:r>
    </w:p>
    <w:p>
      <w:pPr>
        <w:spacing w:after="60"/>
        <w:ind w:firstLine="567"/>
        <w:jc w:val="both"/>
      </w:pPr>
      <w:r>
        <w:rPr>
          <w:rFonts w:ascii="Arial" w:cs="Arial" w:eastAsia="Arial" w:hAnsi="Arial"/>
          <w:sz w:val="24"/>
          <w:szCs w:val="24"/>
        </w:rPr>
        <w:t xml:space="preserve">4) ухудшение финансового состояния поручителя/гаранта и/или контрагента клиента, получившего кредит в рамках контрактного финансирования;</w:t>
      </w:r>
    </w:p>
    <w:p>
      <w:pPr>
        <w:spacing w:after="60"/>
        <w:ind w:firstLine="567"/>
        <w:jc w:val="both"/>
      </w:pPr>
      <w:r>
        <w:rPr>
          <w:rFonts w:ascii="Arial" w:cs="Arial" w:eastAsia="Arial" w:hAnsi="Arial"/>
          <w:sz w:val="24"/>
          <w:szCs w:val="24"/>
        </w:rPr>
        <w:t xml:space="preserve">5) зависимость выплаты задолженности от реализации залога. При этом залог должен быть реализуемым, в форме движимого и недвижимого имущества, в размере, достаточном для выплаты банку основной суммы долга, всех процентов в соответствии с договором и возможных издержек, связанных с реализацией залоговых прав. Предполагается, что залог может быть реализован в следующие сроки:</w:t>
      </w:r>
    </w:p>
    <w:p>
      <w:pPr>
        <w:spacing w:after="60"/>
        <w:ind w:firstLine="567"/>
        <w:jc w:val="both"/>
      </w:pPr>
      <w:r>
        <w:rPr>
          <w:rFonts w:ascii="Arial" w:cs="Arial" w:eastAsia="Arial" w:hAnsi="Arial"/>
          <w:sz w:val="24"/>
          <w:szCs w:val="24"/>
        </w:rPr>
        <w:t xml:space="preserve">- недвижимое имущество - не позднее 2 (двух) лет;</w:t>
      </w:r>
    </w:p>
    <w:p>
      <w:pPr>
        <w:spacing w:after="60"/>
        <w:ind w:firstLine="567"/>
        <w:jc w:val="both"/>
      </w:pPr>
      <w:r>
        <w:rPr>
          <w:rFonts w:ascii="Arial" w:cs="Arial" w:eastAsia="Arial" w:hAnsi="Arial"/>
          <w:sz w:val="24"/>
          <w:szCs w:val="24"/>
        </w:rPr>
        <w:t xml:space="preserve">- движимое имущество - не позднее 1 (одного) года.</w:t>
      </w:r>
    </w:p>
    <w:p>
      <w:pPr>
        <w:spacing w:after="60"/>
        <w:ind w:firstLine="567"/>
        <w:jc w:val="both"/>
      </w:pPr>
      <w:r>
        <w:rPr>
          <w:rFonts w:ascii="Arial" w:cs="Arial" w:eastAsia="Arial" w:hAnsi="Arial"/>
          <w:sz w:val="24"/>
          <w:szCs w:val="24"/>
        </w:rPr>
        <w:t xml:space="preserve">10. Актив должен классифицироваться как "сомнительный" при просроченной задолженности от 270 до 360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4.1 </w:t>
      </w:r>
      <w:hyperlink w:history="1" r:id="rIdeg81i24zbyfkozrrcqta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11. Признаками, по которым актив относится к "потерям", могут быть:</w:t>
      </w:r>
    </w:p>
    <w:p>
      <w:pPr>
        <w:spacing w:after="60"/>
        <w:ind w:firstLine="567"/>
        <w:jc w:val="both"/>
      </w:pPr>
      <w:r>
        <w:rPr>
          <w:rFonts w:ascii="Arial" w:cs="Arial" w:eastAsia="Arial" w:hAnsi="Arial"/>
          <w:sz w:val="24"/>
          <w:szCs w:val="24"/>
        </w:rPr>
        <w:t xml:space="preserve">1) просроченная задолженность на 270 и более дней;</w:t>
      </w:r>
    </w:p>
    <w:p>
      <w:pPr>
        <w:spacing w:after="60"/>
        <w:ind w:firstLine="567"/>
        <w:jc w:val="both"/>
      </w:pPr>
      <w:r>
        <w:rPr>
          <w:rFonts w:ascii="Arial" w:cs="Arial" w:eastAsia="Arial" w:hAnsi="Arial"/>
          <w:sz w:val="24"/>
          <w:szCs w:val="24"/>
        </w:rPr>
        <w:t xml:space="preserve">2) отсутствие залога или невозможность его продажи из-за отсутствия рынка;</w:t>
      </w:r>
    </w:p>
    <w:p>
      <w:pPr>
        <w:spacing w:after="60"/>
        <w:ind w:firstLine="567"/>
        <w:jc w:val="both"/>
      </w:pPr>
      <w:r>
        <w:rPr>
          <w:rFonts w:ascii="Arial" w:cs="Arial" w:eastAsia="Arial" w:hAnsi="Arial"/>
          <w:sz w:val="24"/>
          <w:szCs w:val="24"/>
        </w:rPr>
        <w:t xml:space="preserve">3) неспособность, отказ клиента погасить задолженность либо высказывание намерения оплаты, но без осуществления реального погашения, и отсутствие вторичного источника для погашения актива, неспособность/отказ поручителя/гаранта и/или контрагента клиента, получившего кредит в рамках контрактного финансирования, от исполнения своих обязательств;</w:t>
      </w:r>
    </w:p>
    <w:p>
      <w:pPr>
        <w:spacing w:after="60"/>
        <w:ind w:firstLine="567"/>
        <w:jc w:val="both"/>
      </w:pPr>
      <w:r>
        <w:rPr>
          <w:rFonts w:ascii="Arial" w:cs="Arial" w:eastAsia="Arial" w:hAnsi="Arial"/>
          <w:sz w:val="24"/>
          <w:szCs w:val="24"/>
        </w:rPr>
        <w:t xml:space="preserve">4) нежелание клиента сотрудничать с банком либо отсутствие клиента;</w:t>
      </w:r>
    </w:p>
    <w:p>
      <w:pPr>
        <w:spacing w:after="60"/>
        <w:ind w:firstLine="567"/>
        <w:jc w:val="both"/>
      </w:pPr>
      <w:r>
        <w:rPr>
          <w:rFonts w:ascii="Arial" w:cs="Arial" w:eastAsia="Arial" w:hAnsi="Arial"/>
          <w:sz w:val="24"/>
          <w:szCs w:val="24"/>
        </w:rPr>
        <w:t xml:space="preserve">5) прекращение работы бизнеса клиента либо объявление его банкротом;</w:t>
      </w:r>
    </w:p>
    <w:p>
      <w:pPr>
        <w:spacing w:after="60"/>
        <w:ind w:firstLine="567"/>
        <w:jc w:val="both"/>
      </w:pPr>
      <w:r>
        <w:rPr>
          <w:rFonts w:ascii="Arial" w:cs="Arial" w:eastAsia="Arial" w:hAnsi="Arial"/>
          <w:sz w:val="24"/>
          <w:szCs w:val="24"/>
        </w:rPr>
        <w:t xml:space="preserve">6) предоставление активов субъектам оффшорных зон.</w:t>
      </w:r>
    </w:p>
    <w:p>
      <w:pPr>
        <w:spacing w:after="200" w:before="200"/>
        <w:ind w:firstLine="397"/>
        <w:jc w:val="center"/>
      </w:pPr>
      <w:r>
        <w:rPr>
          <w:rFonts w:ascii="Arial" w:cs="Arial" w:eastAsia="Arial" w:hAnsi="Arial"/>
          <w:b/>
          <w:bCs/>
          <w:sz w:val="24"/>
          <w:szCs w:val="24"/>
        </w:rPr>
        <w:t xml:space="preserve">Глава 5. Классификация реструктуризированных кредитов</w:t>
      </w:r>
    </w:p>
    <w:p>
      <w:pPr>
        <w:spacing w:after="60"/>
        <w:ind w:firstLine="567"/>
        <w:jc w:val="both"/>
      </w:pPr>
      <w:r>
        <w:rPr>
          <w:rFonts w:ascii="Arial" w:cs="Arial" w:eastAsia="Arial" w:hAnsi="Arial"/>
          <w:sz w:val="24"/>
          <w:szCs w:val="24"/>
        </w:rPr>
        <w:t xml:space="preserve">12.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ограничений для сдерживания распространения коронавирусной инфекции в случае, если данный актив был реструктуризирован не более 3 (трех) раз, начиная с 1 марта 2020 года, при выполнении следующих условий:</w:t>
      </w:r>
    </w:p>
    <w:p>
      <w:pPr>
        <w:spacing w:after="60"/>
        <w:ind w:firstLine="567"/>
        <w:jc w:val="both"/>
      </w:pPr>
      <w:r>
        <w:rPr>
          <w:rFonts w:ascii="Arial" w:cs="Arial" w:eastAsia="Arial" w:hAnsi="Arial"/>
          <w:sz w:val="24"/>
          <w:szCs w:val="24"/>
        </w:rPr>
        <w:t xml:space="preserve">- просроченная задолженность по основной сумме и/или процентам по реструктуризируемому активу составляла не более 180 дней;</w:t>
      </w:r>
    </w:p>
    <w:p>
      <w:pPr>
        <w:spacing w:after="60"/>
        <w:ind w:firstLine="567"/>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который подтверждает возможность для заемщика осуществлять платежи по предлагаемому плану реструктуризации.</w:t>
      </w:r>
    </w:p>
    <w:p>
      <w:pPr>
        <w:spacing w:after="60"/>
        <w:ind w:firstLine="567"/>
        <w:jc w:val="both"/>
      </w:pPr>
      <w:r>
        <w:rPr>
          <w:rFonts w:ascii="Arial" w:cs="Arial" w:eastAsia="Arial" w:hAnsi="Arial"/>
          <w:sz w:val="24"/>
          <w:szCs w:val="24"/>
        </w:rPr>
        <w:t xml:space="preserve">- «При проведении пятой и последующей реструктуризации активов категория классификации должна быть ухудшена банком как минимум на 1 категорию.»;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мая 2021 года № 2021-П-12/25-2</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zke8pxwmf7ahyztpiven">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12-1.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текущей геополитической ситуации и негативных последствий внешнеэкономического шока (несмотря на ранее проведенные реструктуризации) в случае, если данный актив был реструктуризирован один раз, начиная с 1 марта 2022 года. </w:t>
      </w:r>
    </w:p>
    <w:p>
      <w:pPr>
        <w:spacing w:after="60"/>
        <w:ind w:firstLine="567"/>
        <w:jc w:val="both"/>
      </w:pPr>
      <w:r>
        <w:rPr>
          <w:rFonts w:ascii="Arial" w:cs="Arial" w:eastAsia="Arial" w:hAnsi="Arial"/>
          <w:i/>
          <w:iCs/>
          <w:sz w:val="24"/>
          <w:szCs w:val="24"/>
        </w:rPr>
        <w:t xml:space="preserve">Последующая реструктуризация вышеуказанных активов может быть проведена согласно условиям пункта 7.3. Положения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13. При возникновении просроченной задолженности по реструктуризированным активам (независимо от количества реструктуризаций) такие активы классифицируются в соответствии с признаками категорий классификации, установленными настоящими Временными правилами»;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мая 2021 года № 2021-П-12/25-2</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bdo8t-fpkpfxosw62f0v">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Категория классификации актива, реструктуризированного в соответствии с требованиями настоящих Временных правил может быть улучшена согласно условиям пункта 7.6. Положения «О классификации активов и соответствующих отчислениях в резерв на покрытие потенциальных потерь и убытков» или пункта 14 Положения  </w:t>
      </w:r>
    </w:p>
    <w:p>
      <w:pPr>
        <w:spacing w:after="60"/>
        <w:ind w:firstLine="567"/>
        <w:jc w:val="both"/>
      </w:pPr>
      <w:r>
        <w:rPr>
          <w:rFonts w:ascii="Arial" w:cs="Arial" w:eastAsia="Arial" w:hAnsi="Arial"/>
          <w:sz w:val="24"/>
          <w:szCs w:val="24"/>
        </w:rPr>
        <w:t xml:space="preserve">«О классификации активов и формирования резервов на покрытие потенциальных потерь и убытков небанковскими финансово-кредитными организациями», утвержденного постановлением Правления Национального банка Кыргызской Республики от 28 декабря 2020 года № 2020-П-33/75-4-(НФКУ).»;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мая 2021 года № 2021-П-12/25-2</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uayos5lnfuq74v_dqmfv">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соответствии с п.3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19 мая 2021 года № 2021-П-12/25-2 срок действия пункта 12 и 14 настоящих Временных правил до 1 сентября 2021 года.</w:t>
      </w:r>
    </w:p>
    <w:p>
      <w:pPr>
        <w:spacing w:after="200" w:before="200"/>
        <w:ind w:firstLine="397"/>
        <w:jc w:val="center"/>
      </w:pPr>
      <w:r>
        <w:rPr>
          <w:rFonts w:ascii="Arial" w:cs="Arial" w:eastAsia="Arial" w:hAnsi="Arial"/>
          <w:b/>
          <w:bCs/>
          <w:sz w:val="32"/>
          <w:szCs w:val="32"/>
        </w:rPr>
        <w:t xml:space="preserve">Глава 6. Классификация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15. Прочая собственность банка, принятая в погашение актива, классифицируется как "потери", если она не продана по истечении следующих сроков:</w:t>
      </w:r>
    </w:p>
    <w:p>
      <w:pPr>
        <w:spacing w:after="60"/>
        <w:ind w:firstLine="567"/>
        <w:jc w:val="both"/>
      </w:pPr>
      <w:r>
        <w:rPr>
          <w:rFonts w:ascii="Arial" w:cs="Arial" w:eastAsia="Arial" w:hAnsi="Arial"/>
          <w:sz w:val="24"/>
          <w:szCs w:val="24"/>
        </w:rPr>
        <w:t xml:space="preserve">а) двух лет - для движимого имущества;</w:t>
      </w:r>
    </w:p>
    <w:p>
      <w:pPr>
        <w:spacing w:after="60"/>
        <w:ind w:firstLine="567"/>
        <w:jc w:val="both"/>
      </w:pPr>
      <w:r>
        <w:rPr>
          <w:rFonts w:ascii="Arial" w:cs="Arial" w:eastAsia="Arial" w:hAnsi="Arial"/>
          <w:sz w:val="24"/>
          <w:szCs w:val="24"/>
        </w:rPr>
        <w:t xml:space="preserve">б) четырех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16. Банк вправе сдавать в аренду прочее недвижимое имущество с получением доходов, превышающих суммы расходов по содержанию прочей собственности, в целях увеличения операционных доходов банков, за исключением случаев, когда банк предоставляет возможность заемщику выкупить жилую недвижимость в рассрочку.</w:t>
      </w:r>
    </w:p>
    <w:p>
      <w:pPr>
        <w:spacing w:after="60"/>
        <w:ind w:firstLine="567"/>
        <w:jc w:val="both"/>
      </w:pPr>
      <w:r>
        <w:rPr>
          <w:rFonts w:ascii="Arial" w:cs="Arial" w:eastAsia="Arial" w:hAnsi="Arial"/>
          <w:sz w:val="24"/>
          <w:szCs w:val="24"/>
        </w:rPr>
        <w:t xml:space="preserve">При этом, если банком такое недвижимое имущество не было продано в течение 3 (трех) лет с момента возникновения у него права собственности, банк классифицирует их как "сомнительные" активы с созданием резерва на покрытие потенциальных потерь и убытков в размере 50%.</w:t>
      </w:r>
    </w:p>
    <w:p>
      <w:pPr>
        <w:spacing w:after="60"/>
        <w:ind w:firstLine="567"/>
        <w:jc w:val="both"/>
      </w:pPr>
      <w:r>
        <w:rPr>
          <w:rFonts w:ascii="Arial" w:cs="Arial" w:eastAsia="Arial" w:hAnsi="Arial"/>
          <w:sz w:val="24"/>
          <w:szCs w:val="24"/>
        </w:rPr>
        <w:t xml:space="preserve">17. В случае допущения просрочек по платежам и нарушения графика погашения по договору финансовой аренды/договору продажи недвижимого имущества в рассрочку или другому подобного договору по прочей собственности классификация должна осуществляться в соответствии с настоящими Временными правилами.</w:t>
      </w:r>
    </w:p>
    <w:p>
      <w:pPr>
        <w:spacing w:after="120" w:before="200"/>
        <w:ind w:firstLine="397"/>
        <w:jc w:val="center"/>
      </w:pPr>
      <w:r>
        <w:rPr>
          <w:rFonts w:ascii="Arial" w:cs="Arial" w:eastAsia="Arial" w:hAnsi="Arial"/>
          <w:b/>
          <w:bCs/>
          <w:sz w:val="32"/>
          <w:szCs w:val="32"/>
        </w:rPr>
        <w:t xml:space="preserve">«Глава 7. Дополнительные требования к вновь выданным кредитам</w:t>
      </w:r>
    </w:p>
    <w:p>
      <w:pPr>
        <w:spacing w:after="120"/>
        <w:ind w:firstLine="397"/>
        <w:jc w:val="both"/>
      </w:pPr>
      <w:r>
        <w:rPr>
          <w:rFonts w:ascii="Arial" w:cs="Arial" w:eastAsia="Arial" w:hAnsi="Arial"/>
          <w:sz w:val="24"/>
          <w:szCs w:val="24"/>
        </w:rPr>
        <w:t xml:space="preserve">18. Вновь выданные кредиты, процентная ставка по которым превышает предельно допустимую процентную ставку, установленную Законом Кыргызской Республики «Об ограничении ростовщической деятельности в Кыргызской Республике», должны быть классифицированы в соответствии с Порядком применения специальной классификации кредитов, отвечающих определенным критериям, утвержденным постановлением Правления Национального банка Кыргызской Республики от 2 марта 2006 года № 5/6.  </w:t>
      </w:r>
    </w:p>
    <w:p>
      <w:pPr>
        <w:spacing w:after="120"/>
        <w:ind w:firstLine="397"/>
        <w:jc w:val="both"/>
      </w:pPr>
      <w:r>
        <w:rPr>
          <w:rFonts w:ascii="Arial" w:cs="Arial" w:eastAsia="Arial" w:hAnsi="Arial"/>
          <w:sz w:val="24"/>
          <w:szCs w:val="24"/>
        </w:rPr>
        <w:t xml:space="preserve">19. Банк должен классифицировать вновь выданный кредит в иностранной валюте (кроме валют стран-членов ЕАЭС) минимум как «актив под наблюдением» с формированием РППУ в размере 5%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более 75 процентов.  </w:t>
      </w:r>
    </w:p>
    <w:p>
      <w:pPr>
        <w:spacing w:after="120"/>
        <w:ind w:firstLine="397"/>
        <w:jc w:val="both"/>
      </w:pPr>
      <w:r>
        <w:rPr>
          <w:rFonts w:ascii="Arial" w:cs="Arial" w:eastAsia="Arial" w:hAnsi="Arial"/>
          <w:sz w:val="24"/>
          <w:szCs w:val="24"/>
        </w:rPr>
        <w:t xml:space="preserve">При этом в случае если у заемщика, получившего вновь выданный кредит в иностранной валюте (кроме валют стран-членов ЕАЭС), доля доходов в иностранной валюте (кроме валют стран-членов ЕАЭС) в общем объеме его совокупных доходов составляет от 50 до 75 процентов, то банк должен классифицировать кредит как минимум как «актив под наблюдением» с формированием РППУ в размере 15 процентов. </w:t>
      </w:r>
    </w:p>
    <w:p>
      <w:pPr>
        <w:spacing w:after="120"/>
        <w:ind w:firstLine="397"/>
        <w:jc w:val="both"/>
      </w:pPr>
      <w:r>
        <w:rPr>
          <w:rFonts w:ascii="Arial" w:cs="Arial" w:eastAsia="Arial" w:hAnsi="Arial"/>
          <w:sz w:val="24"/>
          <w:szCs w:val="24"/>
        </w:rPr>
        <w:t xml:space="preserve">20. Банк должен классифицировать вновь выданный кредит в иностранной валюте (кроме валют стран-членов ЕАЭС) минимум как «субстандартный» с формированием РППУ в размере 25 процентов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менее 50 процентов.».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qhmwt6woscdn0x6hvzgj">
        <w:r>
          <w:rPr>
            <w:rFonts w:ascii="Arial" w:cs="Arial" w:eastAsia="Arial" w:hAnsi="Arial"/>
            <w:i/>
            <w:iCs/>
            <w:color w:val="1D4ED8"/>
            <w:sz w:val="24"/>
            <w:szCs w:val="24"/>
            <w:u w:val="single"/>
          </w:rPr>
          <w:t xml:space="preserve">31 марта 2022 года №2022-П-12/19-4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bd0tfkpbie_bhg2mtbq">
      <w:r>
        <w:rPr>
          <w:rFonts w:ascii="Arial" w:cs="Arial" w:eastAsia="Arial" w:hAnsi="Arial"/>
          <w:color w:val="132D3F"/>
          <w:sz w:val="16"/>
          <w:szCs w:val="16"/>
          <w:u w:val="single"/>
        </w:rPr>
        <w:t xml:space="preserve">dalil.kg/document/800534</w:t>
      </w:r>
    </w:hyperlink>
  </w:p>
  <w:p>
    <w:pPr>
      <w:spacing w:after="0" w:before="40"/>
      <w:jc w:val="center"/>
    </w:pPr>
    <w:hyperlink w:history="1" r:id="rIdcggxntj14inlrfuhfz25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csxqy_k9ybuwkq5jmhw" Type="http://schemas.openxmlformats.org/officeDocument/2006/relationships/hyperlink" Target="https://dalil.kg/document/800475" TargetMode="External"/><Relationship Id="rIdv1eywhjsxfbptzvmbqa97" Type="http://schemas.openxmlformats.org/officeDocument/2006/relationships/hyperlink" Target="https://dalil.kg/document/800530" TargetMode="External"/><Relationship Id="rIdhqd86_g1y3mnv6ku5qdzi" Type="http://schemas.openxmlformats.org/officeDocument/2006/relationships/hyperlink" Target="https://dalil.kg/document/800766" TargetMode="External"/><Relationship Id="rIdbrdud3aekubfb6yzb-z4t" Type="http://schemas.openxmlformats.org/officeDocument/2006/relationships/hyperlink" Target="https://dalil.kg/document/800767" TargetMode="External"/><Relationship Id="rIdtw8hm-opktqklpqgnzfte" Type="http://schemas.openxmlformats.org/officeDocument/2006/relationships/hyperlink" Target="https://dalil.kg/document/800828" TargetMode="External"/><Relationship Id="rIdwe7rd8zljbxb60lpvkhor" Type="http://schemas.openxmlformats.org/officeDocument/2006/relationships/hyperlink" Target="https://dalil.kg/document/800828" TargetMode="External"/><Relationship Id="rIdjox_72fzuexumujcai-fp" Type="http://schemas.openxmlformats.org/officeDocument/2006/relationships/hyperlink" Target="https://dalil.kg/document/800828" TargetMode="External"/><Relationship Id="rIdiexp6ttt6s_9lel5gzoch" Type="http://schemas.openxmlformats.org/officeDocument/2006/relationships/hyperlink" Target="https://dalil.kg/document/31372" TargetMode="External"/><Relationship Id="rIdirkguo7ghpte7mb-silpy" Type="http://schemas.openxmlformats.org/officeDocument/2006/relationships/hyperlink" Target="https://dalil.kg/document/31371" TargetMode="External"/><Relationship Id="rIdijycsajzd5kxw79wouw8a" Type="http://schemas.openxmlformats.org/officeDocument/2006/relationships/hyperlink" Target="https://dalil.kg/document/800828" TargetMode="External"/><Relationship Id="rIdqoyqghdy790n06bqj9wul" Type="http://schemas.openxmlformats.org/officeDocument/2006/relationships/hyperlink" Target="https://dalil.kg/document/800767" TargetMode="External"/><Relationship Id="rId2i8fa56nmeig5knqysln5" Type="http://schemas.openxmlformats.org/officeDocument/2006/relationships/hyperlink" Target="https://dalil.kg/document/800828" TargetMode="External"/><Relationship Id="rIduxzn_cojpqorgaf7t__nv" Type="http://schemas.openxmlformats.org/officeDocument/2006/relationships/hyperlink" Target="https://dalil.kg/document/31372" TargetMode="External"/><Relationship Id="rIdnp0lzqnnzopeiq3bmfsh6" Type="http://schemas.openxmlformats.org/officeDocument/2006/relationships/hyperlink" Target="https://dalil.kg/document/800828" TargetMode="External"/><Relationship Id="rIdk8bpjcb_bzudqsrd0ixsq" Type="http://schemas.openxmlformats.org/officeDocument/2006/relationships/hyperlink" Target="https://dalil.kg/document/31372" TargetMode="External"/><Relationship Id="rIdeg81i24zbyfkozrrcqta0" Type="http://schemas.openxmlformats.org/officeDocument/2006/relationships/hyperlink" Target="https://dalil.kg/document/31372" TargetMode="External"/><Relationship Id="rIdbzke8pxwmf7ahyztpiven" Type="http://schemas.openxmlformats.org/officeDocument/2006/relationships/hyperlink" Target="https://dalil.kg/document/800828" TargetMode="External"/><Relationship Id="rIdabdo8t-fpkpfxosw62f0v" Type="http://schemas.openxmlformats.org/officeDocument/2006/relationships/hyperlink" Target="https://dalil.kg/document/800828" TargetMode="External"/><Relationship Id="rIdtuayos5lnfuq74v_dqmfv" Type="http://schemas.openxmlformats.org/officeDocument/2006/relationships/hyperlink" Target="https://dalil.kg/document/800828" TargetMode="External"/><Relationship Id="rIdrqhmwt6woscdn0x6hvzgj" Type="http://schemas.openxmlformats.org/officeDocument/2006/relationships/hyperlink" Target="https://dalil.kg/document/80082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bd0tfkpbie_bhg2mtbq" Type="http://schemas.openxmlformats.org/officeDocument/2006/relationships/hyperlink" Target="https://dalil.kg/document/800534" TargetMode="External"/><Relationship Id="rIdcggxntj14inlrfuhfz25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2026-09-25T14:53:37.849Z</dcterms:created>
  <dcterms:modified xsi:type="dcterms:W3CDTF">2026-09-25T14:53:37.849Z</dcterms:modified>
</cp:coreProperties>
</file>

<file path=docProps/custom.xml><?xml version="1.0" encoding="utf-8"?>
<Properties xmlns="http://schemas.openxmlformats.org/officeDocument/2006/custom-properties" xmlns:vt="http://schemas.openxmlformats.org/officeDocument/2006/docPropsVTypes"/>
</file>