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сентября 2015 года № 59/6</w:t>
      </w:r>
    </w:p>
    <w:p>
      <w:pPr>
        <w:spacing w:after="120"/>
        <w:jc w:val="both"/>
      </w:pPr>
      <w:r>
        <w:rPr>
          <w:rFonts w:ascii="Arial" w:cs="Arial" w:eastAsia="Arial" w:hAnsi="Arial"/>
          <w:sz w:val="28"/>
          <w:szCs w:val="28"/>
        </w:rPr>
        <w:t xml:space="preserve">О внесении изменений и дополнений в постановление Правления Национального банка Кыргызской Республики "Об утверждении "Правил осуществления денежных переводов по системам денежных переводов в Кыргызской Республике" от 15 июля 2009 года № 30/6</w:t>
      </w:r>
    </w:p>
    <w:p>
      <w:pPr>
        <w:spacing w:after="120"/>
        <w:jc w:val="both"/>
      </w:pPr>
      <w:r>
        <w:rPr>
          <w:rFonts w:ascii="Arial" w:cs="Arial" w:eastAsia="Arial" w:hAnsi="Arial"/>
          <w:sz w:val="24"/>
          <w:szCs w:val="24"/>
        </w:rPr>
        <w:t xml:space="preserve">В соответствии со статьями </w:t>
      </w:r>
      <w:hyperlink w:history="1" r:id="rIdu8puuml-i4s7otgbz7_d-">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zlrtolha-eo6wbz_1akck">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Национальном банке Кыргызской Республики", </w:t>
      </w:r>
      <w:hyperlink w:history="1" r:id="rIde4jos3kkvtgzhq9xf7n2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платежной системе Кыргызской Республики" Правление Национального банка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и дополнения в </w:t>
      </w:r>
      <w:hyperlink w:history="1" r:id="rId1xiva86ohqhoivtk2an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t3ralib0emmmpoqygxxhl">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от 15 июля 2009 года № 30/6 (</w:t>
      </w:r>
      <w:hyperlink w:history="1" r:id="rId5axmvcdewv70ep3b-toia">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Управлению платежных систем довести настоящее постановление до сведения коммерческих банков Кыргызской Республики.</w:t>
      </w:r>
    </w:p>
    <w:p>
      <w:pPr>
        <w:spacing w:after="120"/>
        <w:jc w:val="both"/>
      </w:pPr>
      <w:r>
        <w:rPr>
          <w:rFonts w:ascii="Arial" w:cs="Arial" w:eastAsia="Arial" w:hAnsi="Arial"/>
          <w:sz w:val="24"/>
          <w:szCs w:val="24"/>
        </w:rPr>
        <w:t xml:space="preserve">5. Контроль исполнения настоящего постановления возложить на заместителя Председателя Национального банка Кыргызской Республики Б.Ж.Жеенбаеву.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И ДОПОЛНЕНИЯ
 в постановление Правления Национального банка Кыргызской Республики "Об утверждении "Правил осуществления денежных переводов по системам денежных переводов в Кыргызской Республике" от 15 июля 2009 года № 30/6</w:t>
      </w:r>
    </w:p>
    <w:p>
      <w:pPr>
        <w:spacing w:after="60"/>
        <w:ind w:firstLine="567"/>
        <w:jc w:val="both"/>
      </w:pPr>
      <w:r>
        <w:rPr>
          <w:rFonts w:ascii="Arial" w:cs="Arial" w:eastAsia="Arial" w:hAnsi="Arial"/>
          <w:sz w:val="24"/>
          <w:szCs w:val="24"/>
        </w:rPr>
        <w:t xml:space="preserve">Внести в </w:t>
      </w:r>
      <w:hyperlink w:history="1" r:id="rIdqubxjmmdba3mzuduohw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ozgysgl_ljfezkrinczvr">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от 15 июля 2009 года № 30/6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nlqdi0x2ei11tj0-qssvh">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утвержденных вышеуказанным </w:t>
      </w:r>
      <w:hyperlink w:history="1" r:id="rIdctfd1rhzfvqjanggqhkb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Настоящие </w:t>
      </w:r>
      <w:hyperlink w:history="1" r:id="rIdzzmrjsixqfix8qmezxu0o">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разработаны в соответствии с Законами Кыргызской Республики "</w:t>
      </w:r>
      <w:hyperlink w:history="1" r:id="rId5agj2rnkjisyzjyynfbdd">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crdkf7-r6r_sgovkdj9km">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gtdiuomfx1lqdibtoeox1">
        <w:r>
          <w:rPr>
            <w:rFonts w:ascii="Arial" w:cs="Arial" w:eastAsia="Arial" w:hAnsi="Arial"/>
            <w:color w:val="1D4ED8"/>
            <w:sz w:val="24"/>
            <w:szCs w:val="24"/>
            <w:u w:val="single"/>
          </w:rPr>
          <w:t xml:space="preserve">Об электронном документе и электронной цифровой подписи"</w:t>
        </w:r>
      </w:hyperlink>
      <w:r>
        <w:rPr>
          <w:rFonts w:ascii="Arial" w:cs="Arial" w:eastAsia="Arial" w:hAnsi="Arial"/>
          <w:sz w:val="24"/>
          <w:szCs w:val="24"/>
        </w:rPr>
        <w:t xml:space="preserve">, "</w:t>
      </w:r>
      <w:hyperlink w:history="1" r:id="rIdzejqxfpyovrecxs4dgg1p">
        <w:r>
          <w:rPr>
            <w:rFonts w:ascii="Arial" w:cs="Arial" w:eastAsia="Arial" w:hAnsi="Arial"/>
            <w:color w:val="1D4ED8"/>
            <w:sz w:val="24"/>
            <w:szCs w:val="24"/>
            <w:u w:val="single"/>
          </w:rPr>
          <w:t xml:space="preserve">Об операциях в иностранной валюте</w:t>
        </w:r>
      </w:hyperlink>
      <w:r>
        <w:rPr>
          <w:rFonts w:ascii="Arial" w:cs="Arial" w:eastAsia="Arial" w:hAnsi="Arial"/>
          <w:sz w:val="24"/>
          <w:szCs w:val="24"/>
        </w:rPr>
        <w:t xml:space="preserve">", "</w:t>
      </w:r>
      <w:hyperlink w:history="1" r:id="rIdhhmrw-ijersb9tgccq9yw">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m-lewg3dbskfsdghsoggx">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Перевод денежных средств без открытия банковского счета (далее - денежный перевод) на территории Кыргызской Республики осуществляется физическими лицами, резидентами и нерезидентами Кыргызской Республики в национальной или иностранной валютах через коммерческие банки (далее - банки), лицензируемые и регулируемые Национальным банком Кыргызской Республики (далее - Национальный банк)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в кыргызских сомах (национальной валюте Кыргызской Республики) внутри Кыргызской Республики должен осуществляться только с использованием локальных систем денежных переводов.";</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Банки Кыргызской Республики могут стать участниками международных систем денежных переводов путем подписания соответствующего договора с оператором системы денежных переводов, соблюдения правил системы и законодательства Кыргызской Республики. Оператором международной системы денежных переводов является юридическое лицо, резидент или нерезидент Кыргызской Республики, действующее на основании разрешительных документов для осуществления данного вида деятельности, выданных уполномоченным органом по финансовому надзору страны происхождения и зарегистрированному в Национальном банке.";</w:t>
      </w:r>
    </w:p>
    <w:p>
      <w:pPr>
        <w:spacing w:after="60"/>
        <w:ind w:firstLine="567"/>
        <w:jc w:val="both"/>
      </w:pPr>
      <w:r>
        <w:rPr>
          <w:rFonts w:ascii="Arial" w:cs="Arial" w:eastAsia="Arial" w:hAnsi="Arial"/>
          <w:sz w:val="24"/>
          <w:szCs w:val="24"/>
        </w:rPr>
        <w:t xml:space="preserve">- первое предложение пункта 1.6. изложить в следующей редакции:</w:t>
      </w:r>
    </w:p>
    <w:p>
      <w:pPr>
        <w:spacing w:after="60"/>
        <w:ind w:firstLine="567"/>
        <w:jc w:val="both"/>
      </w:pPr>
      <w:r>
        <w:rPr>
          <w:rFonts w:ascii="Arial" w:cs="Arial" w:eastAsia="Arial" w:hAnsi="Arial"/>
          <w:sz w:val="24"/>
          <w:szCs w:val="24"/>
        </w:rPr>
        <w:t xml:space="preserve">"Банк может заключить договор (агентское соглашение) с небанковскими финансово-кредитными учреждениями и небанковскими организациями по предоставлению услуг населению по денежным переводам через системы денежных переводов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пункты 2.1. и 2.2. признать утратившими силу;</w:t>
      </w:r>
    </w:p>
    <w:p>
      <w:pPr>
        <w:spacing w:after="60"/>
        <w:ind w:firstLine="567"/>
        <w:jc w:val="both"/>
      </w:pPr>
      <w:r>
        <w:rPr>
          <w:rFonts w:ascii="Arial" w:cs="Arial" w:eastAsia="Arial" w:hAnsi="Arial"/>
          <w:sz w:val="24"/>
          <w:szCs w:val="24"/>
        </w:rPr>
        <w:t xml:space="preserve">- пункт 2.3. после первого абзаца дополнить абзацами следующего содержания:</w:t>
      </w:r>
    </w:p>
    <w:p>
      <w:pPr>
        <w:spacing w:after="60"/>
        <w:ind w:firstLine="567"/>
        <w:jc w:val="both"/>
      </w:pPr>
      <w:r>
        <w:rPr>
          <w:rFonts w:ascii="Arial" w:cs="Arial" w:eastAsia="Arial" w:hAnsi="Arial"/>
          <w:sz w:val="24"/>
          <w:szCs w:val="24"/>
        </w:rPr>
        <w:t xml:space="preserve">"Получатель денежного перевода на территории Кыргызской Республики по собственному выбору вправе получить денежный перевод в наличной форме через кассу или периферийные устройства (банкомат/терминал) банка, в том числе с применением носителя-идентификатора получателя денежного перевода в системе денежных переводов (если он предусмотрен правилами системы денежных переводов) либо в безналичной форме путем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Носитель-идентификатор получателя денежного перевода может быть в виде одноразовой карты, не являющейся банковской платежной картой, и предназначается только для получения денежного перевода путем выдачи наличных денежных средств в размере денежного перевода в кассах или периферийных устройствах (банкомат/терминал) всех банков, подключенных к данной системе. Срок действия данной карты (носителя-идентификатора) не должен превышать 30 дней с момента отправки денежного перевода. Ответственность за перевод денежных средств по карте (носитель-идентификатор) несет платежная система. Осуществлять с помощью носителя-идентификатора какие-либо другие банковские операции запрещается.</w:t>
      </w:r>
    </w:p>
    <w:p>
      <w:pPr>
        <w:spacing w:after="60"/>
        <w:ind w:firstLine="567"/>
        <w:jc w:val="both"/>
      </w:pPr>
      <w:r>
        <w:rPr>
          <w:rFonts w:ascii="Arial" w:cs="Arial" w:eastAsia="Arial" w:hAnsi="Arial"/>
          <w:sz w:val="24"/>
          <w:szCs w:val="24"/>
        </w:rPr>
        <w:t xml:space="preserve">В случае, если правилами системы денежных переводов предусмотрено получение денежного перевода частями, получатель денежного перевода вправе получить часть суммы денежного перевода в наличной форме с применением носителя-идентификатора, а остаток денежных средств вправе направить для зачисления на банковский счет, указанный получателем, на карту, выпущенную банком, и/или на электронный кошелек.</w:t>
      </w:r>
    </w:p>
    <w:p>
      <w:pPr>
        <w:spacing w:after="60"/>
        <w:ind w:firstLine="567"/>
        <w:jc w:val="both"/>
      </w:pPr>
      <w:r>
        <w:rPr>
          <w:rFonts w:ascii="Arial" w:cs="Arial" w:eastAsia="Arial" w:hAnsi="Arial"/>
          <w:sz w:val="24"/>
          <w:szCs w:val="24"/>
        </w:rPr>
        <w:t xml:space="preserve">При получении денежного перевода с применением носителя-идентификатора через банкомат каждая операция получения наличных денежных средств не должна превышать 250 (двести пятьдесят) расчетных показателей в национальной валюте или ее эквиваленте в иностранной валюте.</w:t>
      </w:r>
    </w:p>
    <w:p>
      <w:pPr>
        <w:spacing w:after="60"/>
        <w:ind w:firstLine="567"/>
        <w:jc w:val="both"/>
      </w:pPr>
      <w:r>
        <w:rPr>
          <w:rFonts w:ascii="Arial" w:cs="Arial" w:eastAsia="Arial" w:hAnsi="Arial"/>
          <w:sz w:val="24"/>
          <w:szCs w:val="24"/>
        </w:rPr>
        <w:t xml:space="preserve">Условия использования носителя-идентификатора получателя денежного перевода (требования по идентификации, лимитам и т.д.) должны быть установлены правилами системы, отражаться в двусторонних договорах между участником и оператором системы денежных переводов и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считается окончательным:</w:t>
      </w:r>
    </w:p>
    <w:p>
      <w:pPr>
        <w:spacing w:after="60"/>
        <w:ind w:firstLine="567"/>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60"/>
        <w:ind w:firstLine="567"/>
        <w:jc w:val="both"/>
      </w:pPr>
      <w:r>
        <w:rPr>
          <w:rFonts w:ascii="Arial" w:cs="Arial" w:eastAsia="Arial" w:hAnsi="Arial"/>
          <w:sz w:val="24"/>
          <w:szCs w:val="24"/>
        </w:rPr>
        <w:t xml:space="preserve">2) для получателя - в момент получения им наличных денежных средств в кассе или периферийном устройстве (банкомат/терминал) банка или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Оператор системы денежных переводов (далее - оператор) - юридическое лицо, резидент или нерезидент Кыргызской Республики, имеющий соответствующие разрешительные документы уполномоченного органа по финансовому надзору страны происхождения (лицензия, регистрационный сертификат и т.п.), регистрацию в Национальном банке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согласно которому оператор и участники обязуются осуществлять свою деятельность по предоставлению услуг перевода денежных средств без открытия банковского счета в соответствии с правилами системы и законодательством Кыргызской Республики.";</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Система денежных переводов - тип платежной системы по принятию участником платежной системы денежных средств от населения с тем условием, что эти денежные средства будут выплачены адресату. По системе денежных переводов осуществляются денежные переводы как внутри страны (локальные), так и с пересечением государственной границы Кыргызской Республики (международные, трансграничные). Каждому денежному переводу в системе присваивается уникальный идентификационный номер.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Оператор (резидент или нерезидент Кыргызской Республики) для оказания услуг по системам денежных переводов на территории Кыргызской Республики должен пройти регистрацию в Национальном банке. Деятельность операторов платежных систем на территории Кыргызской Республики без наличия регистрации в Национальном банке запрещается.</w:t>
      </w:r>
    </w:p>
    <w:p>
      <w:pPr>
        <w:spacing w:after="60"/>
        <w:ind w:firstLine="567"/>
        <w:jc w:val="both"/>
      </w:pPr>
      <w:r>
        <w:rPr>
          <w:rFonts w:ascii="Arial" w:cs="Arial" w:eastAsia="Arial" w:hAnsi="Arial"/>
          <w:sz w:val="24"/>
          <w:szCs w:val="24"/>
        </w:rPr>
        <w:t xml:space="preserve">Для прохождения регистрации оператор должен предоставить в Национальный банк следующие подлинные документы или заверенные надлежащим образом их копии:</w:t>
      </w:r>
    </w:p>
    <w:p>
      <w:pPr>
        <w:spacing w:after="60"/>
        <w:ind w:firstLine="567"/>
        <w:jc w:val="both"/>
      </w:pPr>
      <w:r>
        <w:rPr>
          <w:rFonts w:ascii="Arial" w:cs="Arial" w:eastAsia="Arial" w:hAnsi="Arial"/>
          <w:sz w:val="24"/>
          <w:szCs w:val="24"/>
        </w:rPr>
        <w:t xml:space="preserve">- письмо-заявление о прохождении регистрации для оказания услуг по системам денежных переводов с указанием:</w:t>
      </w:r>
    </w:p>
    <w:p>
      <w:pPr>
        <w:spacing w:after="60"/>
        <w:ind w:firstLine="567"/>
        <w:jc w:val="both"/>
      </w:pPr>
      <w:r>
        <w:rPr>
          <w:rFonts w:ascii="Arial" w:cs="Arial" w:eastAsia="Arial" w:hAnsi="Arial"/>
          <w:sz w:val="24"/>
          <w:szCs w:val="24"/>
        </w:rPr>
        <w:t xml:space="preserve">названия системы денежных переводов;</w:t>
      </w:r>
    </w:p>
    <w:p>
      <w:pPr>
        <w:spacing w:after="60"/>
        <w:ind w:firstLine="567"/>
        <w:jc w:val="both"/>
      </w:pPr>
      <w:r>
        <w:rPr>
          <w:rFonts w:ascii="Arial" w:cs="Arial" w:eastAsia="Arial" w:hAnsi="Arial"/>
          <w:sz w:val="24"/>
          <w:szCs w:val="24"/>
        </w:rPr>
        <w:t xml:space="preserve">названия оператора системы денежных переводов и страны происхождения;</w:t>
      </w:r>
    </w:p>
    <w:p>
      <w:pPr>
        <w:spacing w:after="60"/>
        <w:ind w:firstLine="567"/>
        <w:jc w:val="both"/>
      </w:pPr>
      <w:r>
        <w:rPr>
          <w:rFonts w:ascii="Arial" w:cs="Arial" w:eastAsia="Arial" w:hAnsi="Arial"/>
          <w:sz w:val="24"/>
          <w:szCs w:val="24"/>
        </w:rPr>
        <w:t xml:space="preserve">сведений об адресе (месте нахождения) оператора;</w:t>
      </w:r>
    </w:p>
    <w:p>
      <w:pPr>
        <w:spacing w:after="60"/>
        <w:ind w:firstLine="567"/>
        <w:jc w:val="both"/>
      </w:pPr>
      <w:r>
        <w:rPr>
          <w:rFonts w:ascii="Arial" w:cs="Arial" w:eastAsia="Arial" w:hAnsi="Arial"/>
          <w:sz w:val="24"/>
          <w:szCs w:val="24"/>
        </w:rPr>
        <w:t xml:space="preserve">названия расчетного банка оператора, если оператор является не кредитной организацией;</w:t>
      </w:r>
    </w:p>
    <w:p>
      <w:pPr>
        <w:spacing w:after="60"/>
        <w:ind w:firstLine="567"/>
        <w:jc w:val="both"/>
      </w:pPr>
      <w:r>
        <w:rPr>
          <w:rFonts w:ascii="Arial" w:cs="Arial" w:eastAsia="Arial" w:hAnsi="Arial"/>
          <w:sz w:val="24"/>
          <w:szCs w:val="24"/>
        </w:rPr>
        <w:t xml:space="preserve">- свидетельство о государственной регистрации юридического лица, выданное уполномоченным органом по регистрации юридических лиц страны происхождения;</w:t>
      </w:r>
    </w:p>
    <w:p>
      <w:pPr>
        <w:spacing w:after="60"/>
        <w:ind w:firstLine="567"/>
        <w:jc w:val="both"/>
      </w:pPr>
      <w:r>
        <w:rPr>
          <w:rFonts w:ascii="Arial" w:cs="Arial" w:eastAsia="Arial" w:hAnsi="Arial"/>
          <w:sz w:val="24"/>
          <w:szCs w:val="24"/>
        </w:rPr>
        <w:t xml:space="preserve">- свидетельство о постановке на учет в налоговом органе страны происхождения;</w:t>
      </w:r>
    </w:p>
    <w:p>
      <w:pPr>
        <w:spacing w:after="60"/>
        <w:ind w:firstLine="567"/>
        <w:jc w:val="both"/>
      </w:pPr>
      <w:r>
        <w:rPr>
          <w:rFonts w:ascii="Arial" w:cs="Arial" w:eastAsia="Arial" w:hAnsi="Arial"/>
          <w:sz w:val="24"/>
          <w:szCs w:val="24"/>
        </w:rPr>
        <w:t xml:space="preserve">- свидетельство о регистрации оператора платежной системы, лицензия/сертификат на право осуществления денежных переводов, выданные уполномоченным органом по финансовому надзору страны происхождения;</w:t>
      </w:r>
    </w:p>
    <w:p>
      <w:pPr>
        <w:spacing w:after="60"/>
        <w:ind w:firstLine="567"/>
        <w:jc w:val="both"/>
      </w:pPr>
      <w:r>
        <w:rPr>
          <w:rFonts w:ascii="Arial" w:cs="Arial" w:eastAsia="Arial" w:hAnsi="Arial"/>
          <w:sz w:val="24"/>
          <w:szCs w:val="24"/>
        </w:rPr>
        <w:t xml:space="preserve">- правила системы, утвержденные учредителями систем денежных переводов;</w:t>
      </w:r>
    </w:p>
    <w:p>
      <w:pPr>
        <w:spacing w:after="60"/>
        <w:ind w:firstLine="567"/>
        <w:jc w:val="both"/>
      </w:pPr>
      <w:r>
        <w:rPr>
          <w:rFonts w:ascii="Arial" w:cs="Arial" w:eastAsia="Arial" w:hAnsi="Arial"/>
          <w:sz w:val="24"/>
          <w:szCs w:val="24"/>
        </w:rPr>
        <w:t xml:space="preserve">- типовой договор с участниками системы, при наличии таковых.</w:t>
      </w:r>
    </w:p>
    <w:p>
      <w:pPr>
        <w:spacing w:after="60"/>
        <w:ind w:firstLine="567"/>
        <w:jc w:val="both"/>
      </w:pPr>
      <w:r>
        <w:rPr>
          <w:rFonts w:ascii="Arial" w:cs="Arial" w:eastAsia="Arial" w:hAnsi="Arial"/>
          <w:sz w:val="24"/>
          <w:szCs w:val="24"/>
        </w:rPr>
        <w:t xml:space="preserve">Если система денежных переводов принадлежит банку, в Национальный банк дополнительно предоставляются надлежащим образом заверенные копии следующих документов:</w:t>
      </w:r>
    </w:p>
    <w:p>
      <w:pPr>
        <w:spacing w:after="60"/>
        <w:ind w:firstLine="567"/>
        <w:jc w:val="both"/>
      </w:pPr>
      <w:r>
        <w:rPr>
          <w:rFonts w:ascii="Arial" w:cs="Arial" w:eastAsia="Arial" w:hAnsi="Arial"/>
          <w:sz w:val="24"/>
          <w:szCs w:val="24"/>
        </w:rPr>
        <w:t xml:space="preserve">- лицензия на осуществление банковских операций, выданная центральным (национальным) банком страны происхождения;</w:t>
      </w:r>
    </w:p>
    <w:p>
      <w:pPr>
        <w:spacing w:after="60"/>
        <w:ind w:firstLine="567"/>
        <w:jc w:val="both"/>
      </w:pPr>
      <w:r>
        <w:rPr>
          <w:rFonts w:ascii="Arial" w:cs="Arial" w:eastAsia="Arial" w:hAnsi="Arial"/>
          <w:sz w:val="24"/>
          <w:szCs w:val="24"/>
        </w:rPr>
        <w:t xml:space="preserve">- свидетельство о государственной регистрации юридического лица, выданное уполномоченным органом по регистрации юридических лиц страны происхождения;</w:t>
      </w:r>
    </w:p>
    <w:p>
      <w:pPr>
        <w:spacing w:after="60"/>
        <w:ind w:firstLine="567"/>
        <w:jc w:val="both"/>
      </w:pPr>
      <w:r>
        <w:rPr>
          <w:rFonts w:ascii="Arial" w:cs="Arial" w:eastAsia="Arial" w:hAnsi="Arial"/>
          <w:sz w:val="24"/>
          <w:szCs w:val="24"/>
        </w:rPr>
        <w:t xml:space="preserve">- свидетельство о постановке на учет в налоговом органе страны происхождения.</w:t>
      </w:r>
    </w:p>
    <w:p>
      <w:pPr>
        <w:spacing w:after="60"/>
        <w:ind w:firstLine="567"/>
        <w:jc w:val="both"/>
      </w:pPr>
      <w:r>
        <w:rPr>
          <w:rFonts w:ascii="Arial" w:cs="Arial" w:eastAsia="Arial" w:hAnsi="Arial"/>
          <w:sz w:val="24"/>
          <w:szCs w:val="24"/>
        </w:rPr>
        <w:t xml:space="preserve">Оригинал документа, содержащий более одного листа, должен быть описан полистно, прошит, пронумерован, подписан и заверен надлежащим образом. Документы, представленные оператором системы денежных переводов - нерезидентом, должны быть легализованы в порядке, установленном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По требованию Национального банка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В срок, не превышающий 15 календарных дней со дня поступления в Национальный банк от оператора заявления о регистрации и документов для прохождения регистрации, Национальный банк принимает решение о регистрации данного оператора платежной системы или об отказе в регистрации. В срок рассмотрения документов не входит время, затраченное оператором на доработку документов. 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При принятии решения о регистрации Национальный банк присваивает оператору системы денежных переводов регистрационный номер, включает информацию о нем в реестр операторов, оказывающих услуги по системам денежных переводов на территории Кыргызской Республики, и в срок не позднее 7 календарных дней с даты принятия решения направляет оператору письмо о прохождении регистрации. Порядок ведения реестра операторов систем денежных переводов устанавливается Национальным банком.</w:t>
      </w:r>
    </w:p>
    <w:p>
      <w:pPr>
        <w:spacing w:after="60"/>
        <w:ind w:firstLine="567"/>
        <w:jc w:val="both"/>
      </w:pPr>
      <w:r>
        <w:rPr>
          <w:rFonts w:ascii="Arial" w:cs="Arial" w:eastAsia="Arial" w:hAnsi="Arial"/>
          <w:sz w:val="24"/>
          <w:szCs w:val="24"/>
        </w:rPr>
        <w:t xml:space="preserve">В случае несоответствия документов установленным требованиям и/или при предоставлении неполного пакета документов, они возвращаются на доработку. Оператор системы денежных переводов в срок не более 10 календарных дней должен предоставить в Национальный банк документы, доработанные с учетом замечаний. При предоставлении документов, не соответствующих требованиям настоящих Правил или не в полном объеме более двух раз, Национальный банк вправе отказать оператору системы денежных переводов в регистрации.</w:t>
      </w:r>
    </w:p>
    <w:p>
      <w:pPr>
        <w:spacing w:after="60"/>
        <w:ind w:firstLine="567"/>
        <w:jc w:val="both"/>
      </w:pPr>
      <w:r>
        <w:rPr>
          <w:rFonts w:ascii="Arial" w:cs="Arial" w:eastAsia="Arial" w:hAnsi="Arial"/>
          <w:sz w:val="24"/>
          <w:szCs w:val="24"/>
        </w:rPr>
        <w:t xml:space="preserve">Оператор системы денежных переводов обязан уведомить в письменной форме Национальный банк об изменении любых сведений, указанных при его регистрации в течение 3 рабочих дней с момента наступления изменений. Национальный банк на основании предоставленной информации в течение 3 рабочих дней вносит информацию в реестр операторов систем денежных переводов.</w:t>
      </w:r>
    </w:p>
    <w:p>
      <w:pPr>
        <w:spacing w:after="60"/>
        <w:ind w:firstLine="567"/>
        <w:jc w:val="both"/>
      </w:pPr>
      <w:r>
        <w:rPr>
          <w:rFonts w:ascii="Arial" w:cs="Arial" w:eastAsia="Arial" w:hAnsi="Arial"/>
          <w:sz w:val="24"/>
          <w:szCs w:val="24"/>
        </w:rPr>
        <w:t xml:space="preserve">Оператор системы денежных переводов на этапе внедрения новых сервисов/продуктов/услуг (совершенствования) системы на территории Кыргызской Республики предварительно должен информировать Национальный банк и направить уведомление с приложением детальной информации, описывающей разрабатываемый сервис/продукт/услуги, предполагаемые изменения/дополнения в системе и получить разрешение Национального банка на использование новых сервисов/продуктов/услуг (совершенствования) системы на территории Кыргызской Республики.</w:t>
      </w:r>
    </w:p>
    <w:p>
      <w:pPr>
        <w:spacing w:after="60"/>
        <w:ind w:firstLine="567"/>
        <w:jc w:val="both"/>
      </w:pPr>
      <w:r>
        <w:rPr>
          <w:rFonts w:ascii="Arial" w:cs="Arial" w:eastAsia="Arial" w:hAnsi="Arial"/>
          <w:sz w:val="24"/>
          <w:szCs w:val="24"/>
        </w:rPr>
        <w:t xml:space="preserve">Документы, предоставленные операторами системы денежных переводов в Национальный банк, не возвращаются.";</w:t>
      </w:r>
    </w:p>
    <w:p>
      <w:pPr>
        <w:spacing w:after="60"/>
        <w:ind w:firstLine="567"/>
        <w:jc w:val="both"/>
      </w:pPr>
      <w:r>
        <w:rPr>
          <w:rFonts w:ascii="Arial" w:cs="Arial" w:eastAsia="Arial" w:hAnsi="Arial"/>
          <w:sz w:val="24"/>
          <w:szCs w:val="24"/>
        </w:rPr>
        <w:t xml:space="preserve">- пункт 3.7. изложить в следующей редакции:</w:t>
      </w:r>
    </w:p>
    <w:p>
      <w:pPr>
        <w:spacing w:after="60"/>
        <w:ind w:firstLine="567"/>
        <w:jc w:val="both"/>
      </w:pPr>
      <w:r>
        <w:rPr>
          <w:rFonts w:ascii="Arial" w:cs="Arial" w:eastAsia="Arial" w:hAnsi="Arial"/>
          <w:sz w:val="24"/>
          <w:szCs w:val="24"/>
        </w:rPr>
        <w:t xml:space="preserve">"3.7. Оператор, кроме оператора локальных систем денежных переводов, в целях обеспечения гарантии финансовых обязательств перед участником платежной системы, должен обеспечить выполнение как минимум одного из следующих условий:</w:t>
      </w:r>
    </w:p>
    <w:p>
      <w:pPr>
        <w:spacing w:after="60"/>
        <w:ind w:firstLine="567"/>
        <w:jc w:val="both"/>
      </w:pPr>
      <w:r>
        <w:rPr>
          <w:rFonts w:ascii="Arial" w:cs="Arial" w:eastAsia="Arial" w:hAnsi="Arial"/>
          <w:sz w:val="24"/>
          <w:szCs w:val="24"/>
        </w:rPr>
        <w:t xml:space="preserve">1) разместить на указанном банком-участником корреспондентском счете обязательный страховой депозит в объеме, покрывающем средний ежедневный оборот по всем производимым операциям (за месяц/квартал/год по согласованию). В случае неисполнения или ненадлежащего исполнения обязательств оператором средства страхового депозита используются участником для удовлетворения требований по таким обязательствам. В случае прекращения договора по предоставлению услуг перевода денежных средств без открытия счета по инициативе оператора или участника средства страхового депозита возвращаются оператору в порядке и сроки, предусмотренные договорными отношениями;</w:t>
      </w:r>
    </w:p>
    <w:p>
      <w:pPr>
        <w:spacing w:after="60"/>
        <w:ind w:firstLine="567"/>
        <w:jc w:val="both"/>
      </w:pPr>
      <w:r>
        <w:rPr>
          <w:rFonts w:ascii="Arial" w:cs="Arial" w:eastAsia="Arial" w:hAnsi="Arial"/>
          <w:sz w:val="24"/>
          <w:szCs w:val="24"/>
        </w:rPr>
        <w:t xml:space="preserve">2) предоставить гарантию от банка, который имеет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имеет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банка нерезидента и рейтинг которого признается центральным (национальным) банком страны происхождения.</w:t>
      </w:r>
    </w:p>
    <w:p>
      <w:pPr>
        <w:spacing w:after="60"/>
        <w:ind w:firstLine="567"/>
        <w:jc w:val="both"/>
      </w:pPr>
      <w:r>
        <w:rPr>
          <w:rFonts w:ascii="Arial" w:cs="Arial" w:eastAsia="Arial" w:hAnsi="Arial"/>
          <w:sz w:val="24"/>
          <w:szCs w:val="24"/>
        </w:rPr>
        <w:t xml:space="preserve">Банковская гарантия также может быть предоставлена банком, являющимся оператором системы денежных переводов, который имеет лицензию на проведение банковских операций. При этом банк, предоставляющий гарантию, должен иметь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иметь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организации нерезидента и рейтинг которого признается центральным (национальным) банком страны происхождения. Оператор должен предоставить в Национальный банк документы, подтверждающие наличие кредитных рейтингов банка-гаранта. В случае ухудшения рейтинга (ниже уровня начальной отметки кредитного рейтинга инвестиционного уровня) банка, предоставившего гарантию, гаранта, оператор должен в течение 30 календарных дней произвести замену гарантии либо предоставить обеспечение в рамках подпунктов 1 или 3 настоящего пункта.</w:t>
      </w:r>
    </w:p>
    <w:p>
      <w:pPr>
        <w:spacing w:after="60"/>
        <w:ind w:firstLine="567"/>
        <w:jc w:val="both"/>
      </w:pPr>
      <w:r>
        <w:rPr>
          <w:rFonts w:ascii="Arial" w:cs="Arial" w:eastAsia="Arial" w:hAnsi="Arial"/>
          <w:sz w:val="24"/>
          <w:szCs w:val="24"/>
        </w:rPr>
        <w:t xml:space="preserve">Банк вправе (если банком оценены все сопутствующие риски при работе с оператором) не требовать банковскую гарантию в случае, если оператор платежной системы (или головная компания группы, к которой принадлежит оператор платежной системы, осуществляющая контроль в отношении оператора платежной системы в соответствии с критериями международных стандартов финансовой отчетности) имеет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имеет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организации нерезидента и рейтинг которого признается центральным (национальным) банком страны происхождения. Оператор должен предоставить в Национальный банк документы, подтверждающие наличие кредитных рейтингов соответствующего уровня. В случае ухудшения рейтинга (ниже уровня начальной отметки кредитного рейтинга инвестиционного уровня) оператора платежной системы (или головной компании группы, к которой принадлежит оператор платежной системы, осуществляющей контроль в отношении оператора платежной системы в соответствии с критериями международных стандартов финансовой отчетности), оператор (или головная компания группы, к которой принадлежит оператор платежной системы, осуществляющая контроль в отношении оператора платежной системы в соответствии с критериями международных стандартов финансовой отчетности) должен в течение 30 календарных дней произвести замену гарантии либо предоставить обеспечение в рамках подпунктов 1 или 3 настоящего пункта;</w:t>
      </w:r>
    </w:p>
    <w:p>
      <w:pPr>
        <w:spacing w:after="60"/>
        <w:ind w:firstLine="567"/>
        <w:jc w:val="both"/>
      </w:pPr>
      <w:r>
        <w:rPr>
          <w:rFonts w:ascii="Arial" w:cs="Arial" w:eastAsia="Arial" w:hAnsi="Arial"/>
          <w:sz w:val="24"/>
          <w:szCs w:val="24"/>
        </w:rPr>
        <w:t xml:space="preserve">3) обеспечить страхование денежных переводов, проводимых через свои системы денежных переводов, на территории Кыргызской Республики путем заключения договора страхования, где выгодоприобретателем будет являться банк-участник, со страховыми компаниями Кыргызской Республики, или если иное не предусмотрено банком на взаимовыгодных условиях с оператором в двусторонних договорах. Договор страхования заключается с каждым банком-участником в отдельности и должен предусматривать сумму страховой выплаты выгодоприобретателю, достаточную для покрытия финансовых обязательств оператора системы денежных переводов, при наступлении страхового случая.";</w:t>
      </w:r>
    </w:p>
    <w:p>
      <w:pPr>
        <w:spacing w:after="60"/>
        <w:ind w:firstLine="567"/>
        <w:jc w:val="both"/>
      </w:pPr>
      <w:r>
        <w:rPr>
          <w:rFonts w:ascii="Arial" w:cs="Arial" w:eastAsia="Arial" w:hAnsi="Arial"/>
          <w:sz w:val="24"/>
          <w:szCs w:val="24"/>
        </w:rPr>
        <w:t xml:space="preserve">- пункт 4.11. изложить в следующей редакции:</w:t>
      </w:r>
    </w:p>
    <w:p>
      <w:pPr>
        <w:spacing w:after="60"/>
        <w:ind w:firstLine="567"/>
        <w:jc w:val="both"/>
      </w:pPr>
      <w:r>
        <w:rPr>
          <w:rFonts w:ascii="Arial" w:cs="Arial" w:eastAsia="Arial" w:hAnsi="Arial"/>
          <w:sz w:val="24"/>
          <w:szCs w:val="24"/>
        </w:rPr>
        <w:t xml:space="preserve">"4.11. Участник должен ежеквартально, не позднее 15 числа месяца, следующего за отчетным кварталом, предоставлять в Национальный банк информацию в соответствии с </w:t>
      </w:r>
      <w:hyperlink w:history="1" r:id="rIdtol6fpsub5nsq9qd9e0wl">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и информацию об исполнении пункта 3.7. настоящих Правил в соответствии с </w:t>
      </w:r>
      <w:hyperlink w:history="1" r:id="rIdloqzsvoelsjilf5bhplgs">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Участник принял от оператора банковскую гарантию в соответствии с подпунктом 2 пункта 3.7. настоящих </w:t>
      </w:r>
      <w:r>
        <w:rPr>
          <w:rFonts w:ascii="Arial" w:cs="Arial" w:eastAsia="Arial" w:hAnsi="Arial"/>
          <w:sz w:val="24"/>
          <w:szCs w:val="24"/>
        </w:rPr>
        <w:t xml:space="preserve">Правил</w:t>
      </w:r>
      <w:r>
        <w:rPr>
          <w:rFonts w:ascii="Arial" w:cs="Arial" w:eastAsia="Arial" w:hAnsi="Arial"/>
          <w:sz w:val="24"/>
          <w:szCs w:val="24"/>
        </w:rPr>
        <w:t xml:space="preserve">, то он должен проводить мониторинг рейтинга банка-гаранта для предотвращения рисков невыполнения финансовых обязательств оператором и ежеквартально, не позднее 15 числа месяца, следующего за отчетным кварталом, предоставлять в Национальный банк информацию о рейтинге банка-гаранта в соответствии с </w:t>
      </w:r>
      <w:hyperlink w:history="1" r:id="rIdes7moj7tl813nenvu6d-n">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lbmrnj9nspvgfwrscbfyb">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дополнить пунктом 6.6. в следующей редакции:</w:t>
      </w:r>
    </w:p>
    <w:p>
      <w:pPr>
        <w:spacing w:after="60"/>
        <w:ind w:firstLine="567"/>
        <w:jc w:val="both"/>
      </w:pPr>
      <w:r>
        <w:rPr>
          <w:rFonts w:ascii="Arial" w:cs="Arial" w:eastAsia="Arial" w:hAnsi="Arial"/>
          <w:sz w:val="24"/>
          <w:szCs w:val="24"/>
        </w:rPr>
        <w:t xml:space="preserve">"6.6. Оператор по запросу Национального банка должен предоставлять подробную информацию об операции по запрашиваемому денежному переводу, об отправителе и/или получателе денежного перевода (ФИО, год рождения, домашний адрес, паспортные данные либо данные документа, удостоверяющего личность), цель перевода, сумму перевода цифрами с приложением копий всех подтверждающих документов.</w:t>
      </w:r>
    </w:p>
    <w:p>
      <w:pPr>
        <w:spacing w:after="60"/>
        <w:ind w:firstLine="567"/>
        <w:jc w:val="both"/>
      </w:pPr>
      <w:r>
        <w:rPr>
          <w:rFonts w:ascii="Arial" w:cs="Arial" w:eastAsia="Arial" w:hAnsi="Arial"/>
          <w:sz w:val="24"/>
          <w:szCs w:val="24"/>
        </w:rPr>
        <w:t xml:space="preserve">Оператор несет ответственность за действия своих агентов и за окончательность переводов, начиная с момента внесения денежных средств в кассу агента до правомерности его выдачи получателю.";</w:t>
      </w:r>
    </w:p>
    <w:p>
      <w:pPr>
        <w:spacing w:after="120"/>
        <w:ind w:firstLine="567"/>
        <w:jc w:val="both"/>
      </w:pPr>
      <w:r>
        <w:rPr>
          <w:rFonts w:ascii="Arial" w:cs="Arial" w:eastAsia="Arial" w:hAnsi="Arial"/>
          <w:sz w:val="24"/>
          <w:szCs w:val="24"/>
        </w:rPr>
        <w:t xml:space="preserve">- </w:t>
      </w:r>
      <w:hyperlink w:history="1" r:id="rIdszs4g1o88nhe_6cnxjoa4">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дополнить </w:t>
      </w:r>
      <w:hyperlink w:history="1" r:id="rIdqcd0lutusgtuzqzo1v6mt">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Правилам осуществления денежных переводов по системам денежных переводов в Кыргызской Республике</w:t>
      </w:r>
    </w:p>
    <w:p>
      <w:pPr>
        <w:spacing w:after="400" w:before="400"/>
        <w:jc w:val="center"/>
      </w:pPr>
      <w:r>
        <w:rPr>
          <w:rFonts w:ascii="Arial" w:cs="Arial" w:eastAsia="Arial" w:hAnsi="Arial"/>
          <w:b/>
          <w:bCs/>
          <w:sz w:val="32"/>
          <w:szCs w:val="32"/>
        </w:rPr>
        <w:t xml:space="preserve">СВЕДЕНИЯ
 об исполнении пункта 3.7. Правил(*)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
        <w:gridCol w:w="721"/>
        <w:gridCol w:w="647"/>
        <w:gridCol w:w="493"/>
        <w:gridCol w:w="607"/>
        <w:gridCol w:w="493"/>
        <w:gridCol w:w="771"/>
        <w:gridCol w:w="525"/>
        <w:gridCol w:w="525"/>
        <w:gridCol w:w="525"/>
        <w:gridCol w:w="525"/>
        <w:gridCol w:w="525"/>
        <w:gridCol w:w="525"/>
        <w:gridCol w:w="525"/>
        <w:gridCol w:w="525"/>
        <w:gridCol w:w="525"/>
        <w:gridCol w:w="576"/>
        <w:gridCol w:w="959"/>
      </w:tblGrid>
      <w:tr>
        <w:tc>
          <w:tcPr>
            <w:tcW w:type="dxa" w:w="1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обеспечения по пункту 3.7.</w:t>
            </w:r>
          </w:p>
        </w:tc>
        <w:tc>
          <w:tcPr>
            <w:tcW w:type="dxa" w:w="4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договора</w:t>
            </w:r>
          </w:p>
        </w:tc>
        <w:tc>
          <w:tcPr>
            <w:tcW w:type="dxa" w:w="6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подписания договора</w:t>
            </w:r>
          </w:p>
        </w:tc>
        <w:tc>
          <w:tcPr>
            <w:tcW w:type="dxa" w:w="4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договора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Среднедневной оборот по системе денежных переводов (сумма, валюта)</w:t>
            </w:r>
          </w:p>
        </w:tc>
        <w:tc>
          <w:tcPr>
            <w:tcW w:type="dxa" w:w="472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договора</w:t>
            </w:r>
          </w:p>
        </w:tc>
        <w:tc>
          <w:tcPr>
            <w:tcW w:type="dxa" w:w="5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Кредитный рейтинг оператора системы денежных переводов</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Примечание/Прочее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(страховой депозит, банковская гарантия, страхование денежных переводов)</w:t>
            </w:r>
          </w:p>
        </w:tc>
        <w:tc>
          <w:tcPr>
            <w:tcW w:type="dxa" w:w="5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(страховой депозит, банковская гарантия, страхование денежных переводов)</w:t>
            </w:r>
          </w:p>
        </w:tc>
        <w:tc>
          <w:tcPr>
            <w:tcW w:type="dxa" w:w="10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размещения страхового депозита</w:t>
            </w:r>
          </w:p>
        </w:tc>
        <w:tc>
          <w:tcPr>
            <w:tcW w:type="dxa" w:w="262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Банковская гарантия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срочность</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выдавший гарантию</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гарантии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гарантии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кредитный рейтинг банка, выдавшего гарантию</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Данные должны быть представлены на альбомном листе формата А4.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___________________________________________________________________________________</w:t>
      </w:r>
    </w:p>
    <w:p>
      <w:pPr>
        <w:spacing w:after="120"/>
        <w:jc w:val="center"/>
      </w:pPr>
      <w:r>
        <w:rPr>
          <w:rFonts w:ascii="Arial" w:cs="Arial" w:eastAsia="Arial" w:hAnsi="Arial"/>
          <w:sz w:val="24"/>
          <w:szCs w:val="24"/>
        </w:rPr>
        <w:t xml:space="preserve">указать ФИО ответственного за подготовку сведений, должность, отдел/управление,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управления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___________________________________________________________________________________</w:t>
      </w:r>
    </w:p>
    <w:p>
      <w:pPr>
        <w:spacing w:after="120"/>
        <w:jc w:val="center"/>
      </w:pPr>
      <w:r>
        <w:rPr>
          <w:rFonts w:ascii="Arial" w:cs="Arial" w:eastAsia="Arial" w:hAnsi="Arial"/>
          <w:sz w:val="24"/>
          <w:szCs w:val="24"/>
        </w:rPr>
        <w:t xml:space="preserve">указать ФИО начальника управления, ответственного за подготовку сведений,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___________________________________________________________________________________</w:t>
      </w:r>
    </w:p>
    <w:p>
      <w:pPr>
        <w:spacing w:after="120"/>
        <w:jc w:val="center"/>
      </w:pPr>
      <w:r>
        <w:rPr>
          <w:rFonts w:ascii="Arial" w:cs="Arial" w:eastAsia="Arial" w:hAnsi="Arial"/>
          <w:sz w:val="24"/>
          <w:szCs w:val="24"/>
        </w:rPr>
        <w:t xml:space="preserve">указать ФИО лица, курирующего данный блок,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учреждения, 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bbuvkaa54c-4sfocl5qg">
      <w:r>
        <w:rPr>
          <w:rFonts w:ascii="Arial" w:cs="Arial" w:eastAsia="Arial" w:hAnsi="Arial"/>
          <w:color w:val="132D3F"/>
          <w:sz w:val="16"/>
          <w:szCs w:val="16"/>
          <w:u w:val="single"/>
        </w:rPr>
        <w:t xml:space="preserve">dalil.kg/document/800711</w:t>
      </w:r>
    </w:hyperlink>
  </w:p>
  <w:p>
    <w:pPr>
      <w:spacing w:after="0" w:before="40"/>
      <w:jc w:val="center"/>
    </w:pPr>
    <w:hyperlink w:history="1" r:id="rIddglkuyfpo7l8u2mtxmx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puuml-i4s7otgbz7_d-" Type="http://schemas.openxmlformats.org/officeDocument/2006/relationships/hyperlink" Target="https://dalil.kg/document/559#st_7" TargetMode="External"/><Relationship Id="rIdzlrtolha-eo6wbz_1akck" Type="http://schemas.openxmlformats.org/officeDocument/2006/relationships/hyperlink" Target="https://dalil.kg/document/559#st_43" TargetMode="External"/><Relationship Id="rIde4jos3kkvtgzhq9xf7n2i" Type="http://schemas.openxmlformats.org/officeDocument/2006/relationships/hyperlink" Target="https://dalil.kg/document/205425" TargetMode="External"/><Relationship Id="rId1xiva86ohqhoivtk2ansu" Type="http://schemas.openxmlformats.org/officeDocument/2006/relationships/hyperlink" Target="https://dalil.kg/document/301180" TargetMode="External"/><Relationship Id="rIdt3ralib0emmmpoqygxxhl" Type="http://schemas.openxmlformats.org/officeDocument/2006/relationships/hyperlink" Target="https://dalil.kg/document/301181" TargetMode="External"/><Relationship Id="rId5axmvcdewv70ep3b-toia" Type="http://schemas.openxmlformats.org/officeDocument/2006/relationships/hyperlink" Target="https://dalil.kg/document/800711#p1" TargetMode="External"/><Relationship Id="rIdqubxjmmdba3mzuduohwmk" Type="http://schemas.openxmlformats.org/officeDocument/2006/relationships/hyperlink" Target="https://dalil.kg/document/301180" TargetMode="External"/><Relationship Id="rIdozgysgl_ljfezkrinczvr" Type="http://schemas.openxmlformats.org/officeDocument/2006/relationships/hyperlink" Target="https://dalil.kg/document/301181" TargetMode="External"/><Relationship Id="rIdnlqdi0x2ei11tj0-qssvh" Type="http://schemas.openxmlformats.org/officeDocument/2006/relationships/hyperlink" Target="https://dalil.kg/document/301181" TargetMode="External"/><Relationship Id="rIdctfd1rhzfvqjanggqhkb9" Type="http://schemas.openxmlformats.org/officeDocument/2006/relationships/hyperlink" Target="https://dalil.kg/document/301180" TargetMode="External"/><Relationship Id="rIdzzmrjsixqfix8qmezxu0o" Type="http://schemas.openxmlformats.org/officeDocument/2006/relationships/hyperlink" Target="https://dalil.kg/document/301181" TargetMode="External"/><Relationship Id="rId5agj2rnkjisyzjyynfbdd" Type="http://schemas.openxmlformats.org/officeDocument/2006/relationships/hyperlink" Target="https://dalil.kg/document/559" TargetMode="External"/><Relationship Id="rIdcrdkf7-r6r_sgovkdj9km" Type="http://schemas.openxmlformats.org/officeDocument/2006/relationships/hyperlink" Target="https://dalil.kg/document/111486" TargetMode="External"/><Relationship Id="rIdgtdiuomfx1lqdibtoeox1" Type="http://schemas.openxmlformats.org/officeDocument/2006/relationships/hyperlink" Target="https://dalil.kg/document/1491" TargetMode="External"/><Relationship Id="rIdzejqxfpyovrecxs4dgg1p" Type="http://schemas.openxmlformats.org/officeDocument/2006/relationships/hyperlink" Target="https://dalil.kg/document/677" TargetMode="External"/><Relationship Id="rIdhhmrw-ijersb9tgccq9yw" Type="http://schemas.openxmlformats.org/officeDocument/2006/relationships/hyperlink" Target="https://dalil.kg/document/111822" TargetMode="External"/><Relationship Id="rIdm-lewg3dbskfsdghsoggx" Type="http://schemas.openxmlformats.org/officeDocument/2006/relationships/hyperlink" Target="https://dalil.kg/document/205425" TargetMode="External"/><Relationship Id="rIdtol6fpsub5nsq9qd9e0wl" Type="http://schemas.openxmlformats.org/officeDocument/2006/relationships/hyperlink" Target="https://dalil.kg/document/301181" TargetMode="External"/><Relationship Id="rIdloqzsvoelsjilf5bhplgs" Type="http://schemas.openxmlformats.org/officeDocument/2006/relationships/hyperlink" Target="https://dalil.kg/document/301181#p2" TargetMode="External"/><Relationship Id="rIdes7moj7tl813nenvu6d-n" Type="http://schemas.openxmlformats.org/officeDocument/2006/relationships/hyperlink" Target="https://dalil.kg/document/301181" TargetMode="External"/><Relationship Id="rIdlbmrnj9nspvgfwrscbfyb" Type="http://schemas.openxmlformats.org/officeDocument/2006/relationships/hyperlink" Target="https://dalil.kg/document/301181" TargetMode="External"/><Relationship Id="rIdszs4g1o88nhe_6cnxjoa4" Type="http://schemas.openxmlformats.org/officeDocument/2006/relationships/hyperlink" Target="https://dalil.kg/document/301181" TargetMode="External"/><Relationship Id="rIdqcd0lutusgtuzqzo1v6mt" Type="http://schemas.openxmlformats.org/officeDocument/2006/relationships/hyperlink" Target="https://dalil.kg/document/800711#p2"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buvkaa54c-4sfocl5qg" Type="http://schemas.openxmlformats.org/officeDocument/2006/relationships/hyperlink" Target="https://dalil.kg/document/800711" TargetMode="External"/><Relationship Id="rIddglkuyfpo7l8u2mtxmx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2026-09-25T07:30:48.373Z</dcterms:created>
  <dcterms:modified xsi:type="dcterms:W3CDTF">2026-09-25T07:30:48.373Z</dcterms:modified>
</cp:coreProperties>
</file>

<file path=docProps/custom.xml><?xml version="1.0" encoding="utf-8"?>
<Properties xmlns="http://schemas.openxmlformats.org/officeDocument/2006/custom-properties" xmlns:vt="http://schemas.openxmlformats.org/officeDocument/2006/docPropsVTypes"/>
</file>