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65/1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7csdoczatsptpqyvzo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hxk_pcjhh0oz0gisch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9nk9ugnr9zrjtauve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</w:t>
      </w:r>
      <w:hyperlink w:history="1" r:id="rIdx8nibfqgix6k9uqyqu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2014 года № 42/8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</w:t>
      </w:r>
      <w:r>
        <w:rPr>
          <w:rFonts w:ascii="Arial" w:cs="Arial" w:eastAsia="Arial" w:hAnsi="Arial"/>
          <w:sz w:val="24"/>
          <w:szCs w:val="24"/>
        </w:rPr>
        <w:t xml:space="preserve">от 22 октября 2003 года № 31/3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23 апреля 2014 года № 16/3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kpsfg-7gm_zkiirvh4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</w:t>
      </w:r>
      <w:hyperlink w:history="1" r:id="rIdmcyvtf7co7j1isy8vt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апреля 2006 года № 10/6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ЗАО "ЭкоИсламикБанк", ОЮЛ "Ассоциация развития исламской экономики, финансов и индустрии", Ассоциации микрофинансовых организаций, микрофинансовых организаций, ОАО "Финансовая Компания Кредитных Союзов", Национальной ассоциации кредитных союзов и кооперативов, Ассоциации кредитных союзов и кооперативов Кыргызстана, кредитных союзов, ОсОО ОЦ "Баракат".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б)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 банк иши жана каржылоо принциптерине ылайык операцияларды жузого ашырган микрофинансылык уюмдар тарабынан активдерди классификациялоо жана потенциалдуу жоготуулардын жана чыгым тартуулардын ордун жабууга каралган камга тиешелуу чегеруулор жонундо" Жобо";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клиента - физического лица, в том числе индивидуального предпринимателя, непогашенной задолженности в других финансово-кредитных учреждениях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Прочая собственность классифицируется как потери, если она не продана МФО по истечении следующих сроков: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года - для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4.1.2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 от 23 апреля 2014 года № 16/3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клиента - физического лица, в том числе индивидуального предпринимателя, непогашенной задолженности в других финансово-кредитных учреждениях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12 апреля 2006 года № 10/6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"3.11. Классификация прочей собственности в кредитных союзах: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прочая собственность кредитных союзов, т.е. собственность (имущество), принятая в погашение кредитов или активов, подобных кредитам, сразу после признания ее в балансе классифицируется как минимум как субстандартная;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прочая собственность классифицируется как потери, если она не продана кредитным союзом по истечении следующих сроков: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года - для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лет с момента возникновения права собственности - для недвижимого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jetlqoppngn_bco6o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dalil.kg/document/800718</w:t>
      </w:r>
    </w:hyperlink>
  </w:p>
  <w:p>
    <w:pPr>
      <w:spacing w:after="0" w:before="40"/>
      <w:jc w:val="center"/>
    </w:pPr>
    <w:hyperlink w:history="1" r:id="rIdjles4etsllu8thwvi4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sdoczatsptpqyvzoqkc" Type="http://schemas.openxmlformats.org/officeDocument/2006/relationships/hyperlink" Target="https://dalil.kg/document/800718#&#1079;1" TargetMode="External"/><Relationship Id="rIdhxk_pcjhh0oz0gische8o" Type="http://schemas.openxmlformats.org/officeDocument/2006/relationships/hyperlink" Target="https://dalil.kg/document/301269" TargetMode="External"/><Relationship Id="rIdi9nk9ugnr9zrjtauvezsr" Type="http://schemas.openxmlformats.org/officeDocument/2006/relationships/hyperlink" Target="https://dalil.kg/document/302959" TargetMode="External"/><Relationship Id="rIdx8nibfqgix6k9uqyqu7tq" Type="http://schemas.openxmlformats.org/officeDocument/2006/relationships/hyperlink" Target="https://dalil.kg/document/302958" TargetMode="External"/><Relationship Id="rIdkpsfg-7gm_zkiirvh4viw" Type="http://schemas.openxmlformats.org/officeDocument/2006/relationships/hyperlink" Target="https://dalil.kg/document/300426" TargetMode="External"/><Relationship Id="rIdmcyvtf7co7j1isy8vt_jr" Type="http://schemas.openxmlformats.org/officeDocument/2006/relationships/hyperlink" Target="https://dalil.kg/document/300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jetlqoppngn_bco6ok0" Type="http://schemas.openxmlformats.org/officeDocument/2006/relationships/hyperlink" Target="https://dalil.kg/document/800718" TargetMode="External"/><Relationship Id="rIdjles4etsllu8thwvi4v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2026-09-25T04:30:32.671Z</dcterms:created>
  <dcterms:modified xsi:type="dcterms:W3CDTF">2026-09-25T04:30:32.671Z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