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июня 2021 года № 2021-П-12/36-3-(НПА)</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 в части создания равной правовой среды финансово-кредитным организациям, осуществляющим операции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hyperlink w:history="1" r:id="rIddd978d3x2mvofwxampxja">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i9oqj0xgzzlxms3uswto0">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d8qtxnml8to_tnfoy7-rn">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hyperlink w:history="1" r:id="rId_gs2n_0zbft_tsnjeki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w:t>
      </w:r>
    </w:p>
    <w:p>
      <w:pPr>
        <w:spacing w:after="60"/>
        <w:ind w:firstLine="567"/>
        <w:jc w:val="both"/>
      </w:pPr>
      <w:r>
        <w:rPr>
          <w:rFonts w:ascii="Arial" w:cs="Arial" w:eastAsia="Arial" w:hAnsi="Arial"/>
          <w:sz w:val="24"/>
          <w:szCs w:val="24"/>
        </w:rPr>
        <w:t xml:space="preserve">- </w:t>
      </w:r>
      <w:hyperlink w:history="1" r:id="rIdflw6lit8q0ijmpbiwxq6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6ctbxzazrwq9yptehzbs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ОАО "Коммерческий банк КЫРГЫЗСТАН", ЗАО "ЭкоИсламикБанк", ОАО "БАКАЙ БАНК", ОЮЛ "Союз банков Кыргызстана",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30 июня 2021 года № 2021-П-12/36-3-(НПА)</w:t>
      </w:r>
    </w:p>
    <w:p>
      <w:pPr>
        <w:spacing w:after="400" w:before="4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 в части создания равной правовой среды финансово-кредитным организациям, осуществляющим операции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1. Внести в </w:t>
      </w:r>
      <w:hyperlink w:history="1" r:id="rIduxrxgxzjk04fhvwwnd0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 следующие изменения:</w:t>
      </w:r>
    </w:p>
    <w:p>
      <w:pPr>
        <w:spacing w:after="60"/>
        <w:ind w:firstLine="567"/>
        <w:jc w:val="both"/>
      </w:pPr>
      <w:r>
        <w:rPr>
          <w:rFonts w:ascii="Arial" w:cs="Arial" w:eastAsia="Arial" w:hAnsi="Arial"/>
          <w:sz w:val="24"/>
          <w:szCs w:val="24"/>
        </w:rPr>
        <w:t xml:space="preserve">в </w:t>
      </w:r>
      <w:hyperlink w:history="1" r:id="rIdkbnkkuoazta6ahl77ybo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утвержденном вышеуказанным </w:t>
      </w:r>
      <w:hyperlink w:history="1" r:id="rId2jkjv4p9sx-iqn2k_xhg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Инвестиции банка в ценные бумаги и/или в капитал - вложения банка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60"/>
        <w:ind w:firstLine="567"/>
        <w:jc w:val="both"/>
      </w:pPr>
      <w:r>
        <w:rPr>
          <w:rFonts w:ascii="Arial" w:cs="Arial" w:eastAsia="Arial" w:hAnsi="Arial"/>
          <w:sz w:val="24"/>
          <w:szCs w:val="24"/>
        </w:rPr>
        <w:t xml:space="preserve">Вложения средств банка в оборотные средства других компаний и участие в совместных проектах считаются активами, несущими в себе кредитный риск.</w:t>
      </w:r>
    </w:p>
    <w:p>
      <w:pPr>
        <w:spacing w:after="60"/>
        <w:ind w:firstLine="567"/>
        <w:jc w:val="both"/>
      </w:pPr>
      <w:r>
        <w:rPr>
          <w:rFonts w:ascii="Arial" w:cs="Arial" w:eastAsia="Arial" w:hAnsi="Arial"/>
          <w:sz w:val="24"/>
          <w:szCs w:val="24"/>
        </w:rPr>
        <w:t xml:space="preserve">Нерыночные инвестиции в ценные бумаги - это инвестиции в такие ценные бумаги, которые не котируются на рынке ценных бумаг, или рынок этих ценных бумаг не является развитым, эффективным, транспарентным и не позволяет определить справедливую стоимость этих ценных бумаг. При этом сделки с ценными бумагами могут носить эпизодический характер, а также отсутствует обширная, достоверная и легкодоступная для всех лиц информация о ценной бумаге.</w:t>
      </w:r>
    </w:p>
    <w:p>
      <w:pPr>
        <w:spacing w:after="60"/>
        <w:ind w:firstLine="567"/>
        <w:jc w:val="both"/>
      </w:pPr>
      <w:r>
        <w:rPr>
          <w:rFonts w:ascii="Arial" w:cs="Arial" w:eastAsia="Arial" w:hAnsi="Arial"/>
          <w:sz w:val="24"/>
          <w:szCs w:val="24"/>
        </w:rPr>
        <w:t xml:space="preserve">Все остальные инвестиции в ценные бумаги являются рыночными.";</w:t>
      </w:r>
    </w:p>
    <w:p>
      <w:pPr>
        <w:spacing w:after="60"/>
        <w:ind w:firstLine="567"/>
        <w:jc w:val="both"/>
      </w:pPr>
      <w:r>
        <w:rPr>
          <w:rFonts w:ascii="Arial" w:cs="Arial" w:eastAsia="Arial" w:hAnsi="Arial"/>
          <w:sz w:val="24"/>
          <w:szCs w:val="24"/>
        </w:rPr>
        <w:t xml:space="preserve">- пункт 17 признать утратившим силу;</w:t>
      </w:r>
    </w:p>
    <w:p>
      <w:pPr>
        <w:spacing w:after="60"/>
        <w:ind w:firstLine="567"/>
        <w:jc w:val="both"/>
      </w:pPr>
      <w:r>
        <w:rPr>
          <w:rFonts w:ascii="Arial" w:cs="Arial" w:eastAsia="Arial" w:hAnsi="Arial"/>
          <w:sz w:val="24"/>
          <w:szCs w:val="24"/>
        </w:rPr>
        <w:t xml:space="preserve">- </w:t>
      </w:r>
      <w:hyperlink w:history="1" r:id="rIda1pmxk2e_usrtycqk6jy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пунктами 17-3, 17-4, 17-5, 17-6 следующего содержания:</w:t>
      </w:r>
    </w:p>
    <w:p>
      <w:pPr>
        <w:spacing w:after="60"/>
        <w:ind w:firstLine="567"/>
        <w:jc w:val="both"/>
      </w:pPr>
      <w:r>
        <w:rPr>
          <w:rFonts w:ascii="Arial" w:cs="Arial" w:eastAsia="Arial" w:hAnsi="Arial"/>
          <w:sz w:val="24"/>
          <w:szCs w:val="24"/>
        </w:rPr>
        <w:t xml:space="preserve">"17-3. При анализе вторичных источников погашения активов следует учитывать, что это обычно влечет за собой задержку платежей, связанную с трудностью определения стоимости реализации залога, с судебными издержками и отсрочками. Эти факторы обычно приводят к тому, что конечная сумма платежа по долгу, полученная с привлечением вторичного источника, не соответствует ожиданиям.</w:t>
      </w:r>
    </w:p>
    <w:p>
      <w:pPr>
        <w:spacing w:after="60"/>
        <w:ind w:firstLine="567"/>
        <w:jc w:val="both"/>
      </w:pPr>
      <w:r>
        <w:rPr>
          <w:rFonts w:ascii="Arial" w:cs="Arial" w:eastAsia="Arial" w:hAnsi="Arial"/>
          <w:sz w:val="24"/>
          <w:szCs w:val="24"/>
        </w:rPr>
        <w:t xml:space="preserve">17-4. Если банк полагается полностью на лицо, выступающее в качестве поручителя или гаранта, как на вторичный источник погашения, то банк должен иметь полную информацию о финансовом положении данного лица для оценки его способности погасить задолженность в случае необходимости. Если указанное лицо стало единственным источником погашения задолженности, при классификации должны быть учтены не только его платежеспособность, но и желание погасить гарантированный им актив, которое должно быть оформлено в соответствующем документе. Если информация о гаранте является недостоверной или вообще отсутствует, то такая гарантия не должна приниматься во внимание при классификации актива.</w:t>
      </w:r>
    </w:p>
    <w:p>
      <w:pPr>
        <w:spacing w:after="60"/>
        <w:ind w:firstLine="567"/>
        <w:jc w:val="both"/>
      </w:pPr>
      <w:r>
        <w:rPr>
          <w:rFonts w:ascii="Arial" w:cs="Arial" w:eastAsia="Arial" w:hAnsi="Arial"/>
          <w:sz w:val="24"/>
          <w:szCs w:val="24"/>
        </w:rPr>
        <w:t xml:space="preserve">17-5. Значительное отклонение от первоначального источника погашения является достаточным основанием классификации так же, как и неконкретные условия погашения или просрочка актива. Однако не все просроченные активы могут быть подвергнуты классификации. Актив может быть просрочен, но если в то же время он имеет обеспечение заложенными в банке денежными средствами или государственными ценными бумагами, которые еще не были погашены, то такой актив может быть признан неклассифицируемым.</w:t>
      </w:r>
    </w:p>
    <w:p>
      <w:pPr>
        <w:spacing w:after="60"/>
        <w:ind w:firstLine="567"/>
        <w:jc w:val="both"/>
      </w:pPr>
      <w:r>
        <w:rPr>
          <w:rFonts w:ascii="Arial" w:cs="Arial" w:eastAsia="Arial" w:hAnsi="Arial"/>
          <w:sz w:val="24"/>
          <w:szCs w:val="24"/>
        </w:rPr>
        <w:t xml:space="preserve">17-6. Выраженное в письменной форме намерение и способность клиента выполнить свои обязательства по договору является первичным критерием оценки риска актива. Это подразумевает, что клиент должен иметь доходы или ликвидные активы, достаточные для сокращения или погашения самой задолженности перед банком в соответствии с договоренностью в разумные и предсказуемые сроки.".</w:t>
      </w:r>
    </w:p>
    <w:p>
      <w:pPr>
        <w:spacing w:after="60"/>
        <w:ind w:firstLine="567"/>
        <w:jc w:val="both"/>
      </w:pPr>
      <w:r>
        <w:rPr>
          <w:rFonts w:ascii="Arial" w:cs="Arial" w:eastAsia="Arial" w:hAnsi="Arial"/>
          <w:sz w:val="24"/>
          <w:szCs w:val="24"/>
        </w:rPr>
        <w:t xml:space="preserve">2. Внести в </w:t>
      </w:r>
      <w:hyperlink w:history="1" r:id="rIdlgekfcbgk51dheuu9jv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nflmscsux5wbjk5pyyg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изменения:</w:t>
      </w:r>
    </w:p>
    <w:p>
      <w:pPr>
        <w:spacing w:after="60"/>
        <w:ind w:firstLine="567"/>
        <w:jc w:val="both"/>
      </w:pPr>
      <w:r>
        <w:rPr>
          <w:rFonts w:ascii="Arial" w:cs="Arial" w:eastAsia="Arial" w:hAnsi="Arial"/>
          <w:sz w:val="24"/>
          <w:szCs w:val="24"/>
        </w:rPr>
        <w:t xml:space="preserve">в </w:t>
      </w:r>
      <w:hyperlink w:history="1" r:id="rIdsijwgpas9xo1flriizql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утвержденном вышеуказанным </w:t>
      </w:r>
      <w:hyperlink w:history="1" r:id="rId3i3fcx037kvwfuugz8lwy">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Данное Положение также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pPr>
        <w:spacing w:after="60"/>
        <w:ind w:firstLine="567"/>
        <w:jc w:val="both"/>
      </w:pPr>
      <w:r>
        <w:rPr>
          <w:rFonts w:ascii="Arial" w:cs="Arial" w:eastAsia="Arial" w:hAnsi="Arial"/>
          <w:sz w:val="24"/>
          <w:szCs w:val="24"/>
        </w:rPr>
        <w:t xml:space="preserve">- </w:t>
      </w:r>
      <w:hyperlink w:history="1" r:id="rIdmkjjwwupblakwxtu1nw2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3-2 следующего содержания:</w:t>
      </w:r>
    </w:p>
    <w:p>
      <w:pPr>
        <w:spacing w:after="60"/>
        <w:ind w:firstLine="567"/>
        <w:jc w:val="both"/>
      </w:pPr>
      <w:r>
        <w:rPr>
          <w:rFonts w:ascii="Arial" w:cs="Arial" w:eastAsia="Arial" w:hAnsi="Arial"/>
          <w:sz w:val="24"/>
          <w:szCs w:val="24"/>
        </w:rPr>
        <w:t xml:space="preserve">"3-2. Бланковые активы - это активы, несущие в себе кредитный риск, обеспечением по которому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только платежеспособному клиенту/партнеру на основании его репутации и оценки уровня его доходов.";</w:t>
      </w:r>
    </w:p>
    <w:p>
      <w:pPr>
        <w:spacing w:after="60"/>
        <w:ind w:firstLine="567"/>
        <w:jc w:val="both"/>
      </w:pPr>
      <w:r>
        <w:rPr>
          <w:rFonts w:ascii="Arial" w:cs="Arial" w:eastAsia="Arial" w:hAnsi="Arial"/>
          <w:sz w:val="24"/>
          <w:szCs w:val="24"/>
        </w:rPr>
        <w:t xml:space="preserve">- в пункте 4:</w:t>
      </w:r>
    </w:p>
    <w:p>
      <w:pPr>
        <w:spacing w:after="60"/>
        <w:ind w:firstLine="567"/>
        <w:jc w:val="both"/>
      </w:pPr>
      <w:r>
        <w:rPr>
          <w:rFonts w:ascii="Arial" w:cs="Arial" w:eastAsia="Arial" w:hAnsi="Arial"/>
          <w:sz w:val="24"/>
          <w:szCs w:val="24"/>
        </w:rPr>
        <w:t xml:space="preserve">в абзаце первом слова "</w:t>
      </w:r>
      <w:hyperlink w:history="1" r:id="rIdivbuekufmr0agvwcagbh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операциях в иностранной валюте" заменить словами "законодательстве Кыргызской Республики";</w:t>
      </w:r>
    </w:p>
    <w:p>
      <w:pPr>
        <w:spacing w:after="60"/>
        <w:ind w:firstLine="567"/>
        <w:jc w:val="both"/>
      </w:pPr>
      <w:r>
        <w:rPr>
          <w:rFonts w:ascii="Arial" w:cs="Arial" w:eastAsia="Arial" w:hAnsi="Arial"/>
          <w:sz w:val="24"/>
          <w:szCs w:val="24"/>
        </w:rPr>
        <w:t xml:space="preserve">пункт дополнить абзацем третьим следующего содержания:</w:t>
      </w:r>
    </w:p>
    <w:p>
      <w:pPr>
        <w:spacing w:after="60"/>
        <w:ind w:firstLine="567"/>
        <w:jc w:val="both"/>
      </w:pPr>
      <w:r>
        <w:rPr>
          <w:rFonts w:ascii="Arial" w:cs="Arial" w:eastAsia="Arial" w:hAnsi="Arial"/>
          <w:sz w:val="24"/>
          <w:szCs w:val="24"/>
        </w:rPr>
        <w:t xml:space="preserve">"Контрактное финансирование представляет собой актив, несущий в себе кредитный риск, в виде краткосрочного финансирования (до одного года) оборотного капитала для исполнения обязательств клиента/партнера по договору с контрагентами.";</w:t>
      </w:r>
    </w:p>
    <w:p>
      <w:pPr>
        <w:spacing w:after="60"/>
        <w:ind w:firstLine="567"/>
        <w:jc w:val="both"/>
      </w:pPr>
      <w:r>
        <w:rPr>
          <w:rFonts w:ascii="Arial" w:cs="Arial" w:eastAsia="Arial" w:hAnsi="Arial"/>
          <w:sz w:val="24"/>
          <w:szCs w:val="24"/>
        </w:rPr>
        <w:t xml:space="preserve">- наименование </w:t>
      </w:r>
      <w:hyperlink w:history="1" r:id="rIdmiu3egj-fyqoof0ddrt2e">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3ugqujegpb0lo2q3ns-aq">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Политика банка по осуществлению операций по исламским принципам финансирования и стратегия финансирования банка";</w:t>
      </w:r>
    </w:p>
    <w:p>
      <w:pPr>
        <w:spacing w:after="60"/>
        <w:ind w:firstLine="567"/>
        <w:jc w:val="both"/>
      </w:pPr>
      <w:r>
        <w:rPr>
          <w:rFonts w:ascii="Arial" w:cs="Arial" w:eastAsia="Arial" w:hAnsi="Arial"/>
          <w:sz w:val="24"/>
          <w:szCs w:val="24"/>
        </w:rPr>
        <w:t xml:space="preserve">- пункт 7 дополнить абзацем вторым следующего содержания:</w:t>
      </w:r>
    </w:p>
    <w:p>
      <w:pPr>
        <w:spacing w:after="60"/>
        <w:ind w:firstLine="567"/>
        <w:jc w:val="both"/>
      </w:pPr>
      <w:r>
        <w:rPr>
          <w:rFonts w:ascii="Arial" w:cs="Arial" w:eastAsia="Arial" w:hAnsi="Arial"/>
          <w:sz w:val="24"/>
          <w:szCs w:val="24"/>
        </w:rPr>
        <w:t xml:space="preserve">"Стратегия финансирования может быть включена в бизнес-план банка отдельным/дополнительным разделом.";</w:t>
      </w:r>
    </w:p>
    <w:p>
      <w:pPr>
        <w:spacing w:after="60"/>
        <w:ind w:firstLine="567"/>
        <w:jc w:val="both"/>
      </w:pPr>
      <w:r>
        <w:rPr>
          <w:rFonts w:ascii="Arial" w:cs="Arial" w:eastAsia="Arial" w:hAnsi="Arial"/>
          <w:sz w:val="24"/>
          <w:szCs w:val="24"/>
        </w:rPr>
        <w:t xml:space="preserve">- </w:t>
      </w:r>
      <w:hyperlink w:history="1" r:id="rIdtiybdksxb3zy4manrwev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пунктами 7-1, 7-2, 7-3 следующего содержания:</w:t>
      </w:r>
    </w:p>
    <w:p>
      <w:pPr>
        <w:spacing w:after="60"/>
        <w:ind w:firstLine="567"/>
        <w:jc w:val="both"/>
      </w:pPr>
      <w:r>
        <w:rPr>
          <w:rFonts w:ascii="Arial" w:cs="Arial" w:eastAsia="Arial" w:hAnsi="Arial"/>
          <w:sz w:val="24"/>
          <w:szCs w:val="24"/>
        </w:rPr>
        <w:t xml:space="preserve">"7-1. Стратегия финансирования должна как минимум учитывать и включать в себя следующее:</w:t>
      </w:r>
    </w:p>
    <w:p>
      <w:pPr>
        <w:spacing w:after="60"/>
        <w:ind w:firstLine="567"/>
        <w:jc w:val="both"/>
      </w:pPr>
      <w:r>
        <w:rPr>
          <w:rFonts w:ascii="Arial" w:cs="Arial" w:eastAsia="Arial" w:hAnsi="Arial"/>
          <w:sz w:val="24"/>
          <w:szCs w:val="24"/>
        </w:rPr>
        <w:t xml:space="preserve">- целевые рынки финансирования и их общие характеристики, которые банк планирует достичь (в том числе уровень диверсификации, планируемые показатели при оценке качества портфеля финансирования и т.д.);</w:t>
      </w:r>
    </w:p>
    <w:p>
      <w:pPr>
        <w:spacing w:after="60"/>
        <w:ind w:firstLine="567"/>
        <w:jc w:val="both"/>
      </w:pPr>
      <w:r>
        <w:rPr>
          <w:rFonts w:ascii="Arial" w:cs="Arial" w:eastAsia="Arial" w:hAnsi="Arial"/>
          <w:sz w:val="24"/>
          <w:szCs w:val="24"/>
        </w:rPr>
        <w:t xml:space="preserve">- основные источники финансирования (банку необходимо указать источники финансирования, за счет каких средств планируется выдавать финансирование, увеличивать портфель финансирования);</w:t>
      </w:r>
    </w:p>
    <w:p>
      <w:pPr>
        <w:spacing w:after="6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60"/>
        <w:ind w:firstLine="567"/>
        <w:jc w:val="both"/>
      </w:pPr>
      <w:r>
        <w:rPr>
          <w:rFonts w:ascii="Arial" w:cs="Arial" w:eastAsia="Arial" w:hAnsi="Arial"/>
          <w:sz w:val="24"/>
          <w:szCs w:val="24"/>
        </w:rPr>
        <w:t xml:space="preserve">- соотношение доли активов, несущих в себе кредитный риск, к активам банка;</w:t>
      </w:r>
    </w:p>
    <w:p>
      <w:pPr>
        <w:spacing w:after="60"/>
        <w:ind w:firstLine="567"/>
        <w:jc w:val="both"/>
      </w:pPr>
      <w:r>
        <w:rPr>
          <w:rFonts w:ascii="Arial" w:cs="Arial" w:eastAsia="Arial" w:hAnsi="Arial"/>
          <w:sz w:val="24"/>
          <w:szCs w:val="24"/>
        </w:rPr>
        <w:t xml:space="preserve">- рыночные условия и финансовое состояние банка, а также его риск-аппетит;</w:t>
      </w:r>
    </w:p>
    <w:p>
      <w:pPr>
        <w:spacing w:after="60"/>
        <w:ind w:firstLine="567"/>
        <w:jc w:val="both"/>
      </w:pPr>
      <w:r>
        <w:rPr>
          <w:rFonts w:ascii="Arial" w:cs="Arial" w:eastAsia="Arial" w:hAnsi="Arial"/>
          <w:sz w:val="24"/>
          <w:szCs w:val="24"/>
        </w:rPr>
        <w:t xml:space="preserve">- ожидаемую норму прибыли и размер капитала банка;</w:t>
      </w:r>
    </w:p>
    <w:p>
      <w:pPr>
        <w:spacing w:after="6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6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60"/>
        <w:ind w:firstLine="567"/>
        <w:jc w:val="both"/>
      </w:pPr>
      <w:r>
        <w:rPr>
          <w:rFonts w:ascii="Arial" w:cs="Arial" w:eastAsia="Arial" w:hAnsi="Arial"/>
          <w:sz w:val="24"/>
          <w:szCs w:val="24"/>
        </w:rPr>
        <w:t xml:space="preserve">- требование о проведении анализа портфеля финансирования, который будет осуществляться на основе действующего портфеля финансирования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pPr>
        <w:spacing w:after="60"/>
        <w:ind w:firstLine="567"/>
        <w:jc w:val="both"/>
      </w:pPr>
      <w:r>
        <w:rPr>
          <w:rFonts w:ascii="Arial" w:cs="Arial" w:eastAsia="Arial" w:hAnsi="Arial"/>
          <w:sz w:val="24"/>
          <w:szCs w:val="24"/>
        </w:rPr>
        <w:t xml:space="preserve">- актуальные адекватные экономические показатели банка;</w:t>
      </w:r>
    </w:p>
    <w:p>
      <w:pPr>
        <w:spacing w:after="6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деятельность финансирования банка. Соответствующий персонал должен быть проинформирован о стратегии финансирования и обеспечивать ясность стратегии финансирования банка.</w:t>
      </w:r>
    </w:p>
    <w:p>
      <w:pPr>
        <w:spacing w:after="60"/>
        <w:ind w:firstLine="567"/>
        <w:jc w:val="both"/>
      </w:pPr>
      <w:r>
        <w:rPr>
          <w:rFonts w:ascii="Arial" w:cs="Arial" w:eastAsia="Arial" w:hAnsi="Arial"/>
          <w:sz w:val="24"/>
          <w:szCs w:val="24"/>
        </w:rPr>
        <w:t xml:space="preserve">7-2. Совет директоров периодически, но не реже одного раза в год, рассматривает финансовые и экономические показатели, влияющие или предусмотренные, заложенные в стратегии финансирования, и при необходимости вносит необходимые изменения.</w:t>
      </w:r>
    </w:p>
    <w:p>
      <w:pPr>
        <w:spacing w:after="60"/>
        <w:ind w:firstLine="567"/>
        <w:jc w:val="both"/>
      </w:pPr>
      <w:r>
        <w:rPr>
          <w:rFonts w:ascii="Arial" w:cs="Arial" w:eastAsia="Arial" w:hAnsi="Arial"/>
          <w:sz w:val="24"/>
          <w:szCs w:val="24"/>
        </w:rPr>
        <w:t xml:space="preserve">7-3.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pPr>
        <w:spacing w:after="60"/>
        <w:ind w:firstLine="567"/>
        <w:jc w:val="both"/>
      </w:pPr>
      <w:r>
        <w:rPr>
          <w:rFonts w:ascii="Arial" w:cs="Arial" w:eastAsia="Arial" w:hAnsi="Arial"/>
          <w:sz w:val="24"/>
          <w:szCs w:val="24"/>
        </w:rPr>
        <w:t xml:space="preserve">- в абзаце первом пункта 11 слова "Политики и стратегии банка" заменить словами "Политики и стратегии финансирования банка";</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Совет директоров банка обязан пересматривать Политику банка на ее адекватность, системы лимитов, инструментов и процедур управления кредитным риском, систему внутреннего аудита по управлению кредитными рисками, а также при необходимости, по мере изменений в профиле риска банка, нормативных правовых актах Национального банка, организационной структуре и кадровом составе банка, оказывающих влияние на процесс финансирования, в том числе изменений, происходящих в экономике республики и странах, где есть деловые связи у банка и его клиентов/партнеров, влияющих на процесс финансирования, но не реже чем один раз в год.</w:t>
      </w:r>
    </w:p>
    <w:p>
      <w:pPr>
        <w:spacing w:after="60"/>
        <w:ind w:firstLine="567"/>
        <w:jc w:val="both"/>
      </w:pPr>
      <w:r>
        <w:rPr>
          <w:rFonts w:ascii="Arial" w:cs="Arial" w:eastAsia="Arial" w:hAnsi="Arial"/>
          <w:sz w:val="24"/>
          <w:szCs w:val="24"/>
        </w:rPr>
        <w:t xml:space="preserve">Все вопросы, касающиеся выдачи активов, несущих в себе кредитный риск, должны решаться только Комитетом банка по финансированию либо лицами, которым комитет в соответствии с нормативными правовыми актами вправе делегировать данное право, за исключением вопросов, относящихся к компетенции совета директоров банка.</w:t>
      </w:r>
    </w:p>
    <w:p>
      <w:pPr>
        <w:spacing w:after="60"/>
        <w:ind w:firstLine="567"/>
        <w:jc w:val="both"/>
      </w:pPr>
      <w:r>
        <w:rPr>
          <w:rFonts w:ascii="Arial" w:cs="Arial" w:eastAsia="Arial" w:hAnsi="Arial"/>
          <w:sz w:val="24"/>
          <w:szCs w:val="24"/>
        </w:rPr>
        <w:t xml:space="preserve">Право выдачи активов, несущих в себе кредитный риск, должно быть разделено на несколько уровней должностных лиц, и эти лица несут ответственность в соответствии с законодательством Кыргызской Республики за нарушения, допущенные ими при финансировании.</w:t>
      </w:r>
    </w:p>
    <w:p>
      <w:pPr>
        <w:spacing w:after="60"/>
        <w:ind w:firstLine="567"/>
        <w:jc w:val="both"/>
      </w:pPr>
      <w:r>
        <w:rPr>
          <w:rFonts w:ascii="Arial" w:cs="Arial" w:eastAsia="Arial" w:hAnsi="Arial"/>
          <w:sz w:val="24"/>
          <w:szCs w:val="24"/>
        </w:rPr>
        <w:t xml:space="preserve">Выдача активов, несущих крупный риск, и активов, несущих в себе кредитный риск, связанным с банком лицам/аффилированным лицам банка должна быть одобрена советом директоров банка и соответствовать требованиям нормативных правовых актов Национального банка. Совет директоров банка несет ответственность за одобрение решений о выдаче активов, несущих крупный риск, активов, несущих в себе кредитный риск, связанным с банком лицам/аффилированным лицам банка, трансграничных активов, включая активы, обеспеченные залогом, находящимся за пределами Кыргызской Республики, которые выданы с нарушениями требований нормативных правовых актов Национального банка и/или по которым банк понес потери.</w:t>
      </w:r>
    </w:p>
    <w:p>
      <w:pPr>
        <w:spacing w:after="60"/>
        <w:ind w:firstLine="567"/>
        <w:jc w:val="both"/>
      </w:pPr>
      <w:r>
        <w:rPr>
          <w:rFonts w:ascii="Arial" w:cs="Arial" w:eastAsia="Arial" w:hAnsi="Arial"/>
          <w:sz w:val="24"/>
          <w:szCs w:val="24"/>
        </w:rPr>
        <w:t xml:space="preserve">Одобрение совета директоров банка требуется также в случаях, если залог, находящийся за пределами Кыргызской Республики, выступает обеспечением по активу, несущему в себе кредитный риск более чем на 20% от суммы актива, несущего в себе кредитный риск. При этом под стоимостью залога понимается его ликвидационная стоимость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Кроме того, в политике финансирования должны быть прописаны полномочия Комитета по финансированию и/или Правления по списанию и реструктуризации финансирования с указанием ограничений.</w:t>
      </w:r>
    </w:p>
    <w:p>
      <w:pPr>
        <w:spacing w:after="60"/>
        <w:ind w:firstLine="567"/>
        <w:jc w:val="both"/>
      </w:pPr>
      <w:r>
        <w:rPr>
          <w:rFonts w:ascii="Arial" w:cs="Arial" w:eastAsia="Arial" w:hAnsi="Arial"/>
          <w:sz w:val="24"/>
          <w:szCs w:val="24"/>
        </w:rPr>
        <w:t xml:space="preserve">Политика финансирования банка также должна содержать методики по оценке платежеспособности клиентов/партнеров. Для этих целей банк может разработать систему внутреннего рейтинга рисков по управлению кредитным риском. Система внутреннего рейтинга рисков должна соответствовать природе, размерам и сложности осуществляемых видов деятельности банка.</w:t>
      </w:r>
    </w:p>
    <w:p>
      <w:pPr>
        <w:spacing w:after="60"/>
        <w:ind w:firstLine="567"/>
        <w:jc w:val="both"/>
      </w:pPr>
      <w:r>
        <w:rPr>
          <w:rFonts w:ascii="Arial" w:cs="Arial" w:eastAsia="Arial" w:hAnsi="Arial"/>
          <w:sz w:val="24"/>
          <w:szCs w:val="24"/>
        </w:rPr>
        <w:t xml:space="preserve">Кроме того, банк обязан постоянно вести базу данных и журнал учета активов, несущих в себе кредитный риск, по которым при выдаче принимались нестандартные решения (индивидуальные наценки, структура залога и другое).</w:t>
      </w:r>
    </w:p>
    <w:p>
      <w:pPr>
        <w:spacing w:after="60"/>
        <w:ind w:firstLine="567"/>
        <w:jc w:val="both"/>
      </w:pPr>
      <w:r>
        <w:rPr>
          <w:rFonts w:ascii="Arial" w:cs="Arial" w:eastAsia="Arial" w:hAnsi="Arial"/>
          <w:sz w:val="24"/>
          <w:szCs w:val="24"/>
        </w:rPr>
        <w:t xml:space="preserve">Система внутреннего рейтинга рисков по управлению кредитным риском должна содержать комплексную оценку финансового состояния клиента/партнера, как основного показателя его будущей платежеспособности, и должна отражать раскрытие данных о клиентах/партнерах, указанных в § 1 и § 2 настоящего Положения.</w:t>
      </w:r>
    </w:p>
    <w:p>
      <w:pPr>
        <w:spacing w:after="60"/>
        <w:ind w:firstLine="567"/>
        <w:jc w:val="both"/>
      </w:pPr>
      <w:r>
        <w:rPr>
          <w:rFonts w:ascii="Arial" w:cs="Arial" w:eastAsia="Arial" w:hAnsi="Arial"/>
          <w:sz w:val="24"/>
          <w:szCs w:val="24"/>
        </w:rPr>
        <w:t xml:space="preserve">Рейтинг рисков по управлению кредитным риском - основной показатель качества актива, несущий в себе кредитный риск. Рейтинг рисков должен присваиваться на первоначальной стадии одобрения выдачи актива, несущего в себе кредитный риск, а также может присваиваться при последующем мониторинге актива, его продлении либо изменении условий договора финансирования или реструктуризации активов, несущих в себе кредитный риск. Разработанные рейтинги рисков, определяющие платежеспособность клиентов/партнеров, устанавливаются в виде алфавитных, числовых или альфа-числовых символов, которые указывают на риски при выдаче банком активов, несущих в себе кредитный риск. Банк присваивает рейтинг рисков с учетом определенных характеристик, связанных с клиентом/партнером и самим активом, несущим в себе кредитный риск.</w:t>
      </w:r>
    </w:p>
    <w:p>
      <w:pPr>
        <w:spacing w:after="60"/>
        <w:ind w:firstLine="567"/>
        <w:jc w:val="both"/>
      </w:pPr>
      <w:r>
        <w:rPr>
          <w:rFonts w:ascii="Arial" w:cs="Arial" w:eastAsia="Arial" w:hAnsi="Arial"/>
          <w:sz w:val="24"/>
          <w:szCs w:val="24"/>
        </w:rPr>
        <w:t xml:space="preserve">Подходы к анализу платежеспособности клиентов/партнеров при определении рейтинга рисков могут основываться на различных методах:</w:t>
      </w:r>
    </w:p>
    <w:p>
      <w:pPr>
        <w:spacing w:after="60"/>
        <w:ind w:firstLine="567"/>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рейтинг рисков (метод коэффициентов, рейтинговые модели, скоринговые модели);</w:t>
      </w:r>
    </w:p>
    <w:p>
      <w:pPr>
        <w:spacing w:after="60"/>
        <w:ind w:firstLine="567"/>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актива клиента/партнера, несущего в себе кредитный риск, и вероятность его неплатежеспособности;</w:t>
      </w:r>
    </w:p>
    <w:p>
      <w:pPr>
        <w:spacing w:after="60"/>
        <w:ind w:firstLine="567"/>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60"/>
        <w:ind w:firstLine="567"/>
        <w:jc w:val="both"/>
      </w:pPr>
      <w:r>
        <w:rPr>
          <w:rFonts w:ascii="Arial" w:cs="Arial" w:eastAsia="Arial" w:hAnsi="Arial"/>
          <w:sz w:val="24"/>
          <w:szCs w:val="24"/>
        </w:rPr>
        <w:t xml:space="preserve">Банк в целях проведения эффективной оценки платежеспособности клиента/партнера при выдаче актива, несущего в себе кредитный риск, может разработать собственную модель, которая должна состоять из подходов, наиболее отвечающих требованиям к оценке клиентов/партнеров и активов, несущих в себе кредитный риск, предоставляемых банком. За основу могут быть взяты:</w:t>
      </w:r>
    </w:p>
    <w:p>
      <w:pPr>
        <w:spacing w:after="60"/>
        <w:ind w:firstLine="567"/>
        <w:jc w:val="both"/>
      </w:pPr>
      <w:r>
        <w:rPr>
          <w:rFonts w:ascii="Arial" w:cs="Arial" w:eastAsia="Arial" w:hAnsi="Arial"/>
          <w:sz w:val="24"/>
          <w:szCs w:val="24"/>
        </w:rPr>
        <w:t xml:space="preserve">- метод коэффициентов, позволяющий комплексно оценивать финансовое состояние клиентов/партнеров и качество активов, несущих в себе кредитный риск;</w:t>
      </w:r>
    </w:p>
    <w:p>
      <w:pPr>
        <w:spacing w:after="60"/>
        <w:ind w:firstLine="567"/>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60"/>
        <w:ind w:firstLine="567"/>
        <w:jc w:val="both"/>
      </w:pPr>
      <w:r>
        <w:rPr>
          <w:rFonts w:ascii="Arial" w:cs="Arial" w:eastAsia="Arial" w:hAnsi="Arial"/>
          <w:sz w:val="24"/>
          <w:szCs w:val="24"/>
        </w:rPr>
        <w:t xml:space="preserve">- скоринговую модель - оценку платежеспособности в балльном эквиваленте путем отнесения клиента/партнера к определенной группе;</w:t>
      </w:r>
    </w:p>
    <w:p>
      <w:pPr>
        <w:spacing w:after="60"/>
        <w:ind w:firstLine="567"/>
        <w:jc w:val="both"/>
      </w:pPr>
      <w:r>
        <w:rPr>
          <w:rFonts w:ascii="Arial" w:cs="Arial" w:eastAsia="Arial" w:hAnsi="Arial"/>
          <w:sz w:val="24"/>
          <w:szCs w:val="24"/>
        </w:rPr>
        <w:t xml:space="preserve">- модель, основанную на оценке будущих денежных потоков с обязательствами клиента/партнера;</w:t>
      </w:r>
    </w:p>
    <w:p>
      <w:pPr>
        <w:spacing w:after="60"/>
        <w:ind w:firstLine="567"/>
        <w:jc w:val="both"/>
      </w:pPr>
      <w:r>
        <w:rPr>
          <w:rFonts w:ascii="Arial" w:cs="Arial" w:eastAsia="Arial" w:hAnsi="Arial"/>
          <w:sz w:val="24"/>
          <w:szCs w:val="24"/>
        </w:rPr>
        <w:t xml:space="preserve">- модель с использованием статистики прошлых лет и др.</w:t>
      </w:r>
    </w:p>
    <w:p>
      <w:pPr>
        <w:spacing w:after="60"/>
        <w:ind w:firstLine="567"/>
        <w:jc w:val="both"/>
      </w:pPr>
      <w:r>
        <w:rPr>
          <w:rFonts w:ascii="Arial" w:cs="Arial" w:eastAsia="Arial" w:hAnsi="Arial"/>
          <w:sz w:val="24"/>
          <w:szCs w:val="24"/>
        </w:rPr>
        <w:t xml:space="preserve">Система внутреннего рейтинга рисков может использоваться для принятия решения о выдаче финансирования; определения стоимости финансирования;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финансирования, согласно шкале кредитного рейтинга, а также определения предыдущего положения и возможного будущего движения финансирования по шкале кредитного рейтинга; оценки общих рисков и тенденции в портфеле финансирования; внесения изменений в стратегию финансирования банка.</w:t>
      </w:r>
    </w:p>
    <w:p>
      <w:pPr>
        <w:spacing w:after="60"/>
        <w:ind w:firstLine="567"/>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активов, несущих кредитный риск, по показателям кредитного рейтинга с течением времени, что может позволить банкам оценивать свой кредитный риск более точно.</w:t>
      </w:r>
    </w:p>
    <w:p>
      <w:pPr>
        <w:spacing w:after="60"/>
        <w:ind w:firstLine="567"/>
        <w:jc w:val="both"/>
      </w:pPr>
      <w:r>
        <w:rPr>
          <w:rFonts w:ascii="Arial" w:cs="Arial" w:eastAsia="Arial" w:hAnsi="Arial"/>
          <w:sz w:val="24"/>
          <w:szCs w:val="24"/>
        </w:rPr>
        <w:t xml:space="preserve">Система внутреннего рейтинга рисков в банке должна содержать распределение полномочий по:</w:t>
      </w:r>
    </w:p>
    <w:p>
      <w:pPr>
        <w:spacing w:after="60"/>
        <w:ind w:firstLine="567"/>
        <w:jc w:val="both"/>
      </w:pPr>
      <w:r>
        <w:rPr>
          <w:rFonts w:ascii="Arial" w:cs="Arial" w:eastAsia="Arial" w:hAnsi="Arial"/>
          <w:sz w:val="24"/>
          <w:szCs w:val="24"/>
        </w:rPr>
        <w:t xml:space="preserve">- присвоению первоначального рейтинга клиенту/партнеру (при поступлении заявки на финансирование);</w:t>
      </w:r>
    </w:p>
    <w:p>
      <w:pPr>
        <w:spacing w:after="60"/>
        <w:ind w:firstLine="567"/>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60"/>
        <w:ind w:firstLine="567"/>
        <w:jc w:val="both"/>
      </w:pPr>
      <w:r>
        <w:rPr>
          <w:rFonts w:ascii="Arial" w:cs="Arial" w:eastAsia="Arial" w:hAnsi="Arial"/>
          <w:sz w:val="24"/>
          <w:szCs w:val="24"/>
        </w:rPr>
        <w:t xml:space="preserve">- окончательному одобрению выдачи финансирования.</w:t>
      </w:r>
    </w:p>
    <w:p>
      <w:pPr>
        <w:spacing w:after="60"/>
        <w:ind w:firstLine="567"/>
        <w:jc w:val="both"/>
      </w:pPr>
      <w:r>
        <w:rPr>
          <w:rFonts w:ascii="Arial" w:cs="Arial" w:eastAsia="Arial" w:hAnsi="Arial"/>
          <w:sz w:val="24"/>
          <w:szCs w:val="24"/>
        </w:rPr>
        <w:t xml:space="preserve">Решение по выдаче финансирования, согласно рейтингу рисков, принимается по финансированию физических лиц и индивидуальных предпринимателей в сумме до 100000 сомов.</w:t>
      </w:r>
    </w:p>
    <w:p>
      <w:pPr>
        <w:spacing w:after="60"/>
        <w:ind w:firstLine="567"/>
        <w:jc w:val="both"/>
      </w:pPr>
      <w:r>
        <w:rPr>
          <w:rFonts w:ascii="Arial" w:cs="Arial" w:eastAsia="Arial" w:hAnsi="Arial"/>
          <w:sz w:val="24"/>
          <w:szCs w:val="24"/>
        </w:rPr>
        <w:t xml:space="preserve">В дальнейшем по активам, несущим кредитный риск и выданным физическим лицам и индивидуальным предпринимателям в сумме до 100000 сомов, необходимо периодически проводить платежный мониторинг с периодичностью, согласно настоящему Положению, а также анализ присвоенных рейтингов рисков в целях мониторинга исполнения обязательств и выработки рекомендаций о внесении изменений в рейтинг, если необходимо.</w:t>
      </w:r>
    </w:p>
    <w:p>
      <w:pPr>
        <w:spacing w:after="60"/>
        <w:ind w:firstLine="567"/>
        <w:jc w:val="both"/>
      </w:pPr>
      <w:r>
        <w:rPr>
          <w:rFonts w:ascii="Arial" w:cs="Arial" w:eastAsia="Arial" w:hAnsi="Arial"/>
          <w:sz w:val="24"/>
          <w:szCs w:val="24"/>
        </w:rPr>
        <w:t xml:space="preserve">Во внутренних политиках банка должны быть требования по проверке фактов, свидетельствующих о том, что предмет залога является единственным жильем клиента/партнера/залогодателя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клиента/партнера/залогодателя, то обращение взыскания на это имущество должно осуществляться по решению суда.";</w:t>
      </w:r>
    </w:p>
    <w:p>
      <w:pPr>
        <w:spacing w:after="60"/>
        <w:ind w:firstLine="567"/>
        <w:jc w:val="both"/>
      </w:pPr>
      <w:r>
        <w:rPr>
          <w:rFonts w:ascii="Arial" w:cs="Arial" w:eastAsia="Arial" w:hAnsi="Arial"/>
          <w:sz w:val="24"/>
          <w:szCs w:val="24"/>
        </w:rPr>
        <w:t xml:space="preserve">- пункт 12-1 изложить в следующей редакции:</w:t>
      </w:r>
    </w:p>
    <w:p>
      <w:pPr>
        <w:spacing w:after="60"/>
        <w:ind w:firstLine="567"/>
        <w:jc w:val="both"/>
      </w:pPr>
      <w:r>
        <w:rPr>
          <w:rFonts w:ascii="Arial" w:cs="Arial" w:eastAsia="Arial" w:hAnsi="Arial"/>
          <w:sz w:val="24"/>
          <w:szCs w:val="24"/>
        </w:rPr>
        <w:t xml:space="preserve">"12-1. Внутренний аудит системы внутреннего рейтинга рисков по управлению кредитным риском должен проводиться ежегодно для определения соответствия деятельности банка по финансированию стратегии финансирования, политике банка и выявления недостатков в процессе управления кредитным риском, в политике финансирования и в процедурах по финансированию.</w:t>
      </w:r>
    </w:p>
    <w:p>
      <w:pPr>
        <w:spacing w:after="60"/>
        <w:ind w:firstLine="567"/>
        <w:jc w:val="both"/>
      </w:pPr>
      <w:r>
        <w:rPr>
          <w:rFonts w:ascii="Arial" w:cs="Arial" w:eastAsia="Arial" w:hAnsi="Arial"/>
          <w:sz w:val="24"/>
          <w:szCs w:val="24"/>
        </w:rPr>
        <w:t xml:space="preserve">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активов, несущих в себе кредитный риск/активов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 в Комитет по аудиту.";</w:t>
      </w:r>
    </w:p>
    <w:p>
      <w:pPr>
        <w:spacing w:after="60"/>
        <w:ind w:firstLine="567"/>
        <w:jc w:val="both"/>
      </w:pPr>
      <w:r>
        <w:rPr>
          <w:rFonts w:ascii="Arial" w:cs="Arial" w:eastAsia="Arial" w:hAnsi="Arial"/>
          <w:sz w:val="24"/>
          <w:szCs w:val="24"/>
        </w:rPr>
        <w:t xml:space="preserve">- пункт 28 признать утратившим силу;</w:t>
      </w:r>
    </w:p>
    <w:p>
      <w:pPr>
        <w:spacing w:after="60"/>
        <w:ind w:firstLine="567"/>
        <w:jc w:val="both"/>
      </w:pPr>
      <w:r>
        <w:rPr>
          <w:rFonts w:ascii="Arial" w:cs="Arial" w:eastAsia="Arial" w:hAnsi="Arial"/>
          <w:sz w:val="24"/>
          <w:szCs w:val="24"/>
        </w:rPr>
        <w:t xml:space="preserve">- в пункте 29:</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выдано финансирование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 пункт 30 изложить в следующей редакции:</w:t>
      </w:r>
    </w:p>
    <w:p>
      <w:pPr>
        <w:spacing w:after="60"/>
        <w:ind w:firstLine="567"/>
        <w:jc w:val="both"/>
      </w:pPr>
      <w:r>
        <w:rPr>
          <w:rFonts w:ascii="Arial" w:cs="Arial" w:eastAsia="Arial" w:hAnsi="Arial"/>
          <w:sz w:val="24"/>
          <w:szCs w:val="24"/>
        </w:rPr>
        <w:t xml:space="preserve">"30. При оказании банковских услуг банк должен обеспечить соблюдение прав клиентов/партнеров, включая следующие права:</w:t>
      </w:r>
    </w:p>
    <w:p>
      <w:pPr>
        <w:spacing w:after="60"/>
        <w:ind w:firstLine="567"/>
        <w:jc w:val="both"/>
      </w:pPr>
      <w:r>
        <w:rPr>
          <w:rFonts w:ascii="Arial" w:cs="Arial" w:eastAsia="Arial" w:hAnsi="Arial"/>
          <w:sz w:val="24"/>
          <w:szCs w:val="24"/>
        </w:rPr>
        <w:t xml:space="preserve">- право клиента по договорам мурабаха, истиснаа, иджара отказаться от получения актива, несущего в себе кредитный риск, с момента подписания договора до момента осуществления платежа по оплате за товар/имущество;</w:t>
      </w:r>
    </w:p>
    <w:p>
      <w:pPr>
        <w:spacing w:after="60"/>
        <w:ind w:firstLine="567"/>
        <w:jc w:val="both"/>
      </w:pPr>
      <w:r>
        <w:rPr>
          <w:rFonts w:ascii="Arial" w:cs="Arial" w:eastAsia="Arial" w:hAnsi="Arial"/>
          <w:sz w:val="24"/>
          <w:szCs w:val="24"/>
        </w:rPr>
        <w:t xml:space="preserve">- право партнера по договорам мудараба и мушарака отказаться от получения актива, несущего в себе кредитный риск, с момента подписания договора до момента получения денежных средств; </w:t>
      </w:r>
    </w:p>
    <w:p>
      <w:pPr>
        <w:spacing w:after="60"/>
        <w:ind w:firstLine="567"/>
        <w:jc w:val="both"/>
      </w:pPr>
      <w:r>
        <w:rPr>
          <w:rFonts w:ascii="Arial" w:cs="Arial" w:eastAsia="Arial" w:hAnsi="Arial"/>
          <w:sz w:val="24"/>
          <w:szCs w:val="24"/>
        </w:rPr>
        <w:t xml:space="preserve">- право клиента/партнера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клиенту/партнеру на ознакомление с договором, должно быть не менее 1 (одного) дня, но не более 3 (трех) дней;</w:t>
      </w:r>
    </w:p>
    <w:p>
      <w:pPr>
        <w:spacing w:after="60"/>
        <w:ind w:firstLine="567"/>
        <w:jc w:val="both"/>
      </w:pPr>
      <w:r>
        <w:rPr>
          <w:rFonts w:ascii="Arial" w:cs="Arial" w:eastAsia="Arial" w:hAnsi="Arial"/>
          <w:sz w:val="24"/>
          <w:szCs w:val="24"/>
        </w:rPr>
        <w:t xml:space="preserve">- право клиента/партнера обратиться в банк с просьбой о пролонгации или реструктуризации актива, несущего в себе кредитный риск;</w:t>
      </w:r>
    </w:p>
    <w:p>
      <w:pPr>
        <w:spacing w:after="60"/>
        <w:ind w:firstLine="567"/>
        <w:jc w:val="both"/>
      </w:pPr>
      <w:r>
        <w:rPr>
          <w:rFonts w:ascii="Arial" w:cs="Arial" w:eastAsia="Arial" w:hAnsi="Arial"/>
          <w:sz w:val="24"/>
          <w:szCs w:val="24"/>
        </w:rPr>
        <w:t xml:space="preserve">- право клиента/партнера, в случае если более 50% от основной суммы актива, несущего в себе кредитный риск,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активу, несущему в себе кредитный риск, в соответствии с внутренними документами банка, без уплаты комиссионных и иных платежей.</w:t>
      </w:r>
    </w:p>
    <w:p>
      <w:pPr>
        <w:spacing w:after="60"/>
        <w:ind w:firstLine="567"/>
        <w:jc w:val="both"/>
      </w:pPr>
      <w:r>
        <w:rPr>
          <w:rFonts w:ascii="Arial" w:cs="Arial" w:eastAsia="Arial" w:hAnsi="Arial"/>
          <w:sz w:val="24"/>
          <w:szCs w:val="24"/>
        </w:rPr>
        <w:t xml:space="preserve">При заключении договора финансирования с клиентом/партнером - физическим лицом, в том числе с индивидуальным предпринимателем, банк предоставляет указанным клиентам/партнерам право выбора следующих способов получения финансирования:</w:t>
      </w:r>
    </w:p>
    <w:p>
      <w:pPr>
        <w:spacing w:after="60"/>
        <w:ind w:firstLine="567"/>
        <w:jc w:val="both"/>
      </w:pPr>
      <w:r>
        <w:rPr>
          <w:rFonts w:ascii="Arial" w:cs="Arial" w:eastAsia="Arial" w:hAnsi="Arial"/>
          <w:sz w:val="24"/>
          <w:szCs w:val="24"/>
        </w:rPr>
        <w:t xml:space="preserve">- получение денежных средств в наличной форме без уплаты комиссионных и иных платежей за обналичивание;</w:t>
      </w:r>
    </w:p>
    <w:p>
      <w:pPr>
        <w:spacing w:after="60"/>
        <w:ind w:firstLine="567"/>
        <w:jc w:val="both"/>
      </w:pPr>
      <w:r>
        <w:rPr>
          <w:rFonts w:ascii="Arial" w:cs="Arial" w:eastAsia="Arial" w:hAnsi="Arial"/>
          <w:sz w:val="24"/>
          <w:szCs w:val="24"/>
        </w:rPr>
        <w:t xml:space="preserve">- получение денежных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60"/>
        <w:ind w:firstLine="567"/>
        <w:jc w:val="both"/>
      </w:pPr>
      <w:r>
        <w:rPr>
          <w:rFonts w:ascii="Arial" w:cs="Arial" w:eastAsia="Arial" w:hAnsi="Arial"/>
          <w:sz w:val="24"/>
          <w:szCs w:val="24"/>
        </w:rPr>
        <w:t xml:space="preserve">При этом клиенты/партнеры - физические лица, в том числе индивидуальные предприниматели, вправе осуществлять погашение финансирования как в наличной, так и в безналичной формах.</w:t>
      </w:r>
    </w:p>
    <w:p>
      <w:pPr>
        <w:spacing w:after="60"/>
        <w:ind w:firstLine="567"/>
        <w:jc w:val="both"/>
      </w:pPr>
      <w:r>
        <w:rPr>
          <w:rFonts w:ascii="Arial" w:cs="Arial" w:eastAsia="Arial" w:hAnsi="Arial"/>
          <w:sz w:val="24"/>
          <w:szCs w:val="24"/>
        </w:rPr>
        <w:t xml:space="preserve">Право получения денежных средств без уплаты комиссионных и иных платежей за обналичивание денежных средств предоставляется банком при ипотечном финансировании, а также финансирования в рамках государственных/правительственных и социальных программ, направленных на развитие экономики клиентам/партнерам - физическим лицам, в том числе индивидуальным предпринимателям.";</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Банк, принимая на себя риски, связанные с предоставлением актива, несущего в себе кредитный риск, должен проверять полноту и достоверность информации, представленной клиентом/партнером, в том числе по доходам клиентов/партнеров, которые имеют доходы, не подтвержденные документально, как до момента выдачи актива, несущего в себе кредитный риск, так и в последующем - до полного возврата средств банка, не реже чем один раз в год, с учетом требований, указанных в пункте 68-1 настоящего Положения.";</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В целом анализ заявки на получение актива, несущего в себе кредитный риск, должен основываться на политике банка, одобренной советом директоров, и концентрироваться на следующих ключевых факторах:</w:t>
      </w:r>
    </w:p>
    <w:p>
      <w:pPr>
        <w:spacing w:after="60"/>
        <w:ind w:firstLine="567"/>
        <w:jc w:val="both"/>
      </w:pPr>
      <w:r>
        <w:rPr>
          <w:rFonts w:ascii="Arial" w:cs="Arial" w:eastAsia="Arial" w:hAnsi="Arial"/>
          <w:sz w:val="24"/>
          <w:szCs w:val="24"/>
        </w:rPr>
        <w:t xml:space="preserve">- праве получить финансирование. Банк должен убедиться в том, что клиент/партнер имеет право на получение актива, несущего в себе кредитный риск, и подписание договора;</w:t>
      </w:r>
    </w:p>
    <w:p>
      <w:pPr>
        <w:spacing w:after="60"/>
        <w:ind w:firstLine="567"/>
        <w:jc w:val="both"/>
      </w:pPr>
      <w:r>
        <w:rPr>
          <w:rFonts w:ascii="Arial" w:cs="Arial" w:eastAsia="Arial" w:hAnsi="Arial"/>
          <w:sz w:val="24"/>
          <w:szCs w:val="24"/>
        </w:rPr>
        <w:t xml:space="preserve">- характере клиента/партнера. Банк должен установить, что клиент/партнер ответственно относится к получению финансирования, дает полные ответы на вопросы банка и будет прилагать все усилия для выплаты задолженности. При анализе следует также учитывать, пользовался ли клиент/партнер кредитами (займами) или активами, несущими в себе кредитный риск,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и рассматривать срок, опыт работы клиента/партнера в данной отрасли, его успехи и достижения. Имеет смысл запросить информацию о предоставленных ему активах, несущих в себе кредитный риск, в других кредитных организациях. Кроме того, необходимо запросить информацию (кредитный отчет) о связанных с клиентом/партнером лицах при наличии их согласия в соответствии с законодательством в одном или нескольких кредитных бюро.</w:t>
      </w:r>
    </w:p>
    <w:p>
      <w:pPr>
        <w:spacing w:after="60"/>
        <w:ind w:firstLine="567"/>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60"/>
        <w:ind w:firstLine="567"/>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60"/>
        <w:ind w:firstLine="567"/>
        <w:jc w:val="both"/>
      </w:pPr>
      <w:r>
        <w:rPr>
          <w:rFonts w:ascii="Arial" w:cs="Arial" w:eastAsia="Arial" w:hAnsi="Arial"/>
          <w:sz w:val="24"/>
          <w:szCs w:val="24"/>
        </w:rPr>
        <w:t xml:space="preserve">- денежных средствах. Главный вопрос, на который должен ответить сотрудник банка, анализирующий заявку на получение актива, несущего в себе кредитный риск, это: сможет ли клиент/партнер получить достаточно денежных средств в форме дохода и потока наличности, в том числе в той валюте, в которой он намеревается получить финансирование для того, чтобы погасить актив, несущий в себе кредитный риск.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договора.</w:t>
      </w:r>
    </w:p>
    <w:p>
      <w:pPr>
        <w:spacing w:after="60"/>
        <w:ind w:firstLine="567"/>
        <w:jc w:val="both"/>
      </w:pPr>
      <w:r>
        <w:rPr>
          <w:rFonts w:ascii="Arial" w:cs="Arial" w:eastAsia="Arial" w:hAnsi="Arial"/>
          <w:sz w:val="24"/>
          <w:szCs w:val="24"/>
        </w:rPr>
        <w:t xml:space="preserve">Кроме того, банк должен определить достаточность доходов (выручки) клиента/партнера (в том числе в иностранной валюте) с учетом роста обменных курсов для того, чтобы обеспечить своевременное погашение клиентом/партнером актива.</w:t>
      </w:r>
    </w:p>
    <w:p>
      <w:pPr>
        <w:spacing w:after="60"/>
        <w:ind w:firstLine="567"/>
        <w:jc w:val="both"/>
      </w:pPr>
      <w:r>
        <w:rPr>
          <w:rFonts w:ascii="Arial" w:cs="Arial" w:eastAsia="Arial" w:hAnsi="Arial"/>
          <w:sz w:val="24"/>
          <w:szCs w:val="24"/>
        </w:rPr>
        <w:t xml:space="preserve">В случае если у клиента/партнера в предстоящие 12 месяцев доходы (выручка) будут преимущественно в национальной валюте, банк должен оценить целесообразность выдачи финансирования в иностранной валюте такому клиенту/партнеру, учитывая кредитный риск, обусловленный валютным риском, в результате негативного изменения обменного курса для клиента/партнера с учетом требований нормативных правовых актов Национального банка, в том числе по РППУ;</w:t>
      </w:r>
    </w:p>
    <w:p>
      <w:pPr>
        <w:spacing w:after="60"/>
        <w:ind w:firstLine="567"/>
        <w:jc w:val="both"/>
      </w:pPr>
      <w:r>
        <w:rPr>
          <w:rFonts w:ascii="Arial" w:cs="Arial" w:eastAsia="Arial" w:hAnsi="Arial"/>
          <w:sz w:val="24"/>
          <w:szCs w:val="24"/>
        </w:rPr>
        <w:t xml:space="preserve">- обеспечении. При оценке обеспечения специалист по финансированию банка должен выяснить, располагает ли клиент/партнер достаточным качественным обеспечением, необходимым для уменьшения риска невозврата актива, несущего в себе кредитный риск.</w:t>
      </w:r>
    </w:p>
    <w:p>
      <w:pPr>
        <w:spacing w:after="60"/>
        <w:ind w:firstLine="567"/>
        <w:jc w:val="both"/>
      </w:pPr>
      <w:r>
        <w:rPr>
          <w:rFonts w:ascii="Arial" w:cs="Arial" w:eastAsia="Arial" w:hAnsi="Arial"/>
          <w:sz w:val="24"/>
          <w:szCs w:val="24"/>
        </w:rPr>
        <w:t xml:space="preserve">При выдаче активов, несущих в себе кредитный риск, могут использоваться различные формы, виды и способы обеспечения.</w:t>
      </w:r>
    </w:p>
    <w:p>
      <w:pPr>
        <w:spacing w:after="60"/>
        <w:ind w:firstLine="567"/>
        <w:jc w:val="both"/>
      </w:pPr>
      <w:r>
        <w:rPr>
          <w:rFonts w:ascii="Arial" w:cs="Arial" w:eastAsia="Arial" w:hAnsi="Arial"/>
          <w:sz w:val="24"/>
          <w:szCs w:val="24"/>
        </w:rPr>
        <w:t xml:space="preserve">Обеспечение обязательств клиентов/партнеров классифицируется по различным признакам:</w:t>
      </w:r>
    </w:p>
    <w:p>
      <w:pPr>
        <w:spacing w:after="60"/>
        <w:ind w:firstLine="567"/>
        <w:jc w:val="both"/>
      </w:pPr>
      <w:r>
        <w:rPr>
          <w:rFonts w:ascii="Arial" w:cs="Arial" w:eastAsia="Arial" w:hAnsi="Arial"/>
          <w:sz w:val="24"/>
          <w:szCs w:val="24"/>
        </w:rPr>
        <w:t xml:space="preserve">- имущественная форма обеспечения активов, несущих в себе кредитный риск, под которой понимается вторичный источник погашения актива за счет получения денежных средств от реализации имущества, предоставленного клиентом/партнером при получении актива, несущего в себе кредитный риск.</w:t>
      </w:r>
    </w:p>
    <w:p>
      <w:pPr>
        <w:spacing w:after="60"/>
        <w:ind w:firstLine="567"/>
        <w:jc w:val="both"/>
      </w:pPr>
      <w:r>
        <w:rPr>
          <w:rFonts w:ascii="Arial" w:cs="Arial" w:eastAsia="Arial" w:hAnsi="Arial"/>
          <w:sz w:val="24"/>
          <w:szCs w:val="24"/>
        </w:rPr>
        <w:t xml:space="preserve">К имущественной форме могут относиться следующие виды обеспечения активов, несущих в себе кредитный риск:</w:t>
      </w:r>
    </w:p>
    <w:p>
      <w:pPr>
        <w:spacing w:after="60"/>
        <w:ind w:firstLine="567"/>
        <w:jc w:val="both"/>
      </w:pPr>
      <w:r>
        <w:rPr>
          <w:rFonts w:ascii="Arial" w:cs="Arial" w:eastAsia="Arial" w:hAnsi="Arial"/>
          <w:sz w:val="24"/>
          <w:szCs w:val="24"/>
        </w:rPr>
        <w:t xml:space="preserve">- залог недвижимого имущества;</w:t>
      </w:r>
    </w:p>
    <w:p>
      <w:pPr>
        <w:spacing w:after="60"/>
        <w:ind w:firstLine="567"/>
        <w:jc w:val="both"/>
      </w:pPr>
      <w:r>
        <w:rPr>
          <w:rFonts w:ascii="Arial" w:cs="Arial" w:eastAsia="Arial" w:hAnsi="Arial"/>
          <w:sz w:val="24"/>
          <w:szCs w:val="24"/>
        </w:rPr>
        <w:t xml:space="preserve">- залог движимого имущества (это имущество, как правило, остается в пользовании клиента/партнера - автотранспорт, товары в обороте, бытовая техника и т.п.);</w:t>
      </w:r>
    </w:p>
    <w:p>
      <w:pPr>
        <w:spacing w:after="60"/>
        <w:ind w:firstLine="567"/>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60"/>
        <w:ind w:firstLine="567"/>
        <w:jc w:val="both"/>
      </w:pPr>
      <w:r>
        <w:rPr>
          <w:rFonts w:ascii="Arial" w:cs="Arial" w:eastAsia="Arial" w:hAnsi="Arial"/>
          <w:sz w:val="24"/>
          <w:szCs w:val="24"/>
        </w:rPr>
        <w:t xml:space="preserve">- неимущественная форма обеспечения активов, несущих в себе кредитный риск. Неимущественная форма обеспечения активов - это источник погашения актива за счет юридического оформления гарантии возврата средств.</w:t>
      </w:r>
    </w:p>
    <w:p>
      <w:pPr>
        <w:spacing w:after="60"/>
        <w:ind w:firstLine="567"/>
        <w:jc w:val="both"/>
      </w:pPr>
      <w:r>
        <w:rPr>
          <w:rFonts w:ascii="Arial" w:cs="Arial" w:eastAsia="Arial" w:hAnsi="Arial"/>
          <w:sz w:val="24"/>
          <w:szCs w:val="24"/>
        </w:rPr>
        <w:t xml:space="preserve">К неимущественной форме обеспечения по активам, несущим в себе кредитный риск, могут быть отнесены такие виды обеспечения активов, как:</w:t>
      </w:r>
    </w:p>
    <w:p>
      <w:pPr>
        <w:spacing w:after="60"/>
        <w:ind w:firstLine="567"/>
        <w:jc w:val="both"/>
      </w:pPr>
      <w:r>
        <w:rPr>
          <w:rFonts w:ascii="Arial" w:cs="Arial" w:eastAsia="Arial" w:hAnsi="Arial"/>
          <w:sz w:val="24"/>
          <w:szCs w:val="24"/>
        </w:rPr>
        <w:t xml:space="preserve">- гарантия;</w:t>
      </w:r>
    </w:p>
    <w:p>
      <w:pPr>
        <w:spacing w:after="60"/>
        <w:ind w:firstLine="567"/>
        <w:jc w:val="both"/>
      </w:pPr>
      <w:r>
        <w:rPr>
          <w:rFonts w:ascii="Arial" w:cs="Arial" w:eastAsia="Arial" w:hAnsi="Arial"/>
          <w:sz w:val="24"/>
          <w:szCs w:val="24"/>
        </w:rPr>
        <w:t xml:space="preserve">- поручительство.</w:t>
      </w:r>
    </w:p>
    <w:p>
      <w:pPr>
        <w:spacing w:after="60"/>
        <w:ind w:firstLine="567"/>
        <w:jc w:val="both"/>
      </w:pPr>
      <w:r>
        <w:rPr>
          <w:rFonts w:ascii="Arial" w:cs="Arial" w:eastAsia="Arial" w:hAnsi="Arial"/>
          <w:sz w:val="24"/>
          <w:szCs w:val="24"/>
        </w:rPr>
        <w:t xml:space="preserve">По степени покрытия обязательства, обеспечения по активу, несущему в себе кредитный риск, делятся на:</w:t>
      </w:r>
    </w:p>
    <w:p>
      <w:pPr>
        <w:spacing w:after="60"/>
        <w:ind w:firstLine="567"/>
        <w:jc w:val="both"/>
      </w:pPr>
      <w:r>
        <w:rPr>
          <w:rFonts w:ascii="Arial" w:cs="Arial" w:eastAsia="Arial" w:hAnsi="Arial"/>
          <w:sz w:val="24"/>
          <w:szCs w:val="24"/>
        </w:rPr>
        <w:t xml:space="preserve">- основное обеспечение;</w:t>
      </w:r>
    </w:p>
    <w:p>
      <w:pPr>
        <w:spacing w:after="60"/>
        <w:ind w:firstLine="567"/>
        <w:jc w:val="both"/>
      </w:pPr>
      <w:r>
        <w:rPr>
          <w:rFonts w:ascii="Arial" w:cs="Arial" w:eastAsia="Arial" w:hAnsi="Arial"/>
          <w:sz w:val="24"/>
          <w:szCs w:val="24"/>
        </w:rPr>
        <w:t xml:space="preserve">- дополнительное обеспечение.</w:t>
      </w:r>
    </w:p>
    <w:p>
      <w:pPr>
        <w:spacing w:after="60"/>
        <w:ind w:firstLine="567"/>
        <w:jc w:val="both"/>
      </w:pPr>
      <w:r>
        <w:rPr>
          <w:rFonts w:ascii="Arial" w:cs="Arial" w:eastAsia="Arial" w:hAnsi="Arial"/>
          <w:sz w:val="24"/>
          <w:szCs w:val="24"/>
        </w:rPr>
        <w:t xml:space="preserve">В зависимости от полноты покрываемого обязательства обеспечение по активу, несущему в себе кредитный риск, делится на:</w:t>
      </w:r>
    </w:p>
    <w:p>
      <w:pPr>
        <w:spacing w:after="60"/>
        <w:ind w:firstLine="567"/>
        <w:jc w:val="both"/>
      </w:pPr>
      <w:r>
        <w:rPr>
          <w:rFonts w:ascii="Arial" w:cs="Arial" w:eastAsia="Arial" w:hAnsi="Arial"/>
          <w:sz w:val="24"/>
          <w:szCs w:val="24"/>
        </w:rPr>
        <w:t xml:space="preserve">- полностью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 частично покрывающее обязательство по активу, несущему в себе кредитный риск.</w:t>
      </w:r>
    </w:p>
    <w:p>
      <w:pPr>
        <w:spacing w:after="60"/>
        <w:ind w:firstLine="567"/>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60"/>
        <w:ind w:firstLine="567"/>
        <w:jc w:val="both"/>
      </w:pPr>
      <w:r>
        <w:rPr>
          <w:rFonts w:ascii="Arial" w:cs="Arial" w:eastAsia="Arial" w:hAnsi="Arial"/>
          <w:sz w:val="24"/>
          <w:szCs w:val="24"/>
        </w:rPr>
        <w:t xml:space="preserve">Основные мероприятия банка для принятия имущественного обеспечения по активу, несущему в себе кредитный риск:</w:t>
      </w:r>
    </w:p>
    <w:p>
      <w:pPr>
        <w:spacing w:after="60"/>
        <w:ind w:firstLine="567"/>
        <w:jc w:val="both"/>
      </w:pPr>
      <w:r>
        <w:rPr>
          <w:rFonts w:ascii="Arial" w:cs="Arial" w:eastAsia="Arial" w:hAnsi="Arial"/>
          <w:sz w:val="24"/>
          <w:szCs w:val="24"/>
        </w:rPr>
        <w:t xml:space="preserve">- банк должен убедиться в наличии обеспечения, предоставляемого клиентом/партнером.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клиента/партнера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свидетельствующие о наличии скота, если имеются;</w:t>
      </w:r>
    </w:p>
    <w:p>
      <w:pPr>
        <w:spacing w:after="60"/>
        <w:ind w:firstLine="567"/>
        <w:jc w:val="both"/>
      </w:pPr>
      <w:r>
        <w:rPr>
          <w:rFonts w:ascii="Arial" w:cs="Arial" w:eastAsia="Arial" w:hAnsi="Arial"/>
          <w:sz w:val="24"/>
          <w:szCs w:val="24"/>
        </w:rPr>
        <w:t xml:space="preserve">- банк должен определить уровень ликвидности обеспечения, т.е. возможность быстрой продажи (реализации);</w:t>
      </w:r>
    </w:p>
    <w:p>
      <w:pPr>
        <w:spacing w:after="60"/>
        <w:ind w:firstLine="567"/>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активу, несущему в себе кредитный риск, над суммой финансирования и причитающихся выплат по нему с учетом размера возможных затрат на реализацию предмета обеспечения является инструментом по управлению риском невозврата активов, несущих в себе кредитный риск;</w:t>
      </w:r>
    </w:p>
    <w:p>
      <w:pPr>
        <w:spacing w:after="60"/>
        <w:ind w:firstLine="567"/>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клиентом/партнером имущество, при этом банку следует учесть риски снижения стоимости этого обеспечения;</w:t>
      </w:r>
    </w:p>
    <w:p>
      <w:pPr>
        <w:spacing w:after="60"/>
        <w:ind w:firstLine="567"/>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клиентом/партнером финансирования, при этом следует учитывать возможность возникновения потребности в хранении обеспечения, что может вызвать дополнительные расходы. 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клиента/партнера как минимум за последний год, оценить риски, связанные с выполнением сторонами обязательств по данному финансированию и реализацией вторичного источника погашения, в случае невозврата финансирования;</w:t>
      </w:r>
    </w:p>
    <w:p>
      <w:pPr>
        <w:spacing w:after="60"/>
        <w:ind w:firstLine="567"/>
        <w:jc w:val="both"/>
      </w:pPr>
      <w:r>
        <w:rPr>
          <w:rFonts w:ascii="Arial" w:cs="Arial" w:eastAsia="Arial" w:hAnsi="Arial"/>
          <w:sz w:val="24"/>
          <w:szCs w:val="24"/>
        </w:rPr>
        <w:t xml:space="preserve">- гарантия/поручительство. При обеспечении актива, несущего в себе кредитный риск, гарантией/поручительством для определения целесообразности предоставления финансирования банк проводит анализ платежеспособности гаранта/поручителя в таком же объеме, как и самого клиента/партнера. Банк должен потребовать от гаранта/поручителя документы, запрашиваемые для анализа платежеспособности самого клиента/партнера,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активов, несущих в себе кредитный риск, в части обеспеченных гарантией/поручительством в качестве бланковых;</w:t>
      </w:r>
    </w:p>
    <w:p>
      <w:pPr>
        <w:spacing w:after="60"/>
        <w:ind w:firstLine="567"/>
        <w:jc w:val="both"/>
      </w:pPr>
      <w:r>
        <w:rPr>
          <w:rFonts w:ascii="Arial" w:cs="Arial" w:eastAsia="Arial" w:hAnsi="Arial"/>
          <w:sz w:val="24"/>
          <w:szCs w:val="24"/>
        </w:rPr>
        <w:t xml:space="preserve">- поручительство членов группы солидарной ответственности. При этом под группой солидарной ответственности (далее -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 при любых обстоятельствах,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рассмотрении заявки на получение актива, несущего в себе кредитный риск, участников ГСО банк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60"/>
        <w:ind w:firstLine="567"/>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ГСО актива, несущего в себе кредитный риск.</w:t>
      </w:r>
    </w:p>
    <w:p>
      <w:pPr>
        <w:spacing w:after="60"/>
        <w:ind w:firstLine="567"/>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60"/>
        <w:ind w:firstLine="567"/>
        <w:jc w:val="both"/>
      </w:pPr>
      <w:r>
        <w:rPr>
          <w:rFonts w:ascii="Arial" w:cs="Arial" w:eastAsia="Arial" w:hAnsi="Arial"/>
          <w:sz w:val="24"/>
          <w:szCs w:val="24"/>
        </w:rPr>
        <w:t xml:space="preserve">- пункт 36 дополнить абзацем третьим следующего содержания:</w:t>
      </w:r>
    </w:p>
    <w:p>
      <w:pPr>
        <w:spacing w:after="60"/>
        <w:ind w:firstLine="567"/>
        <w:jc w:val="both"/>
      </w:pPr>
      <w:r>
        <w:rPr>
          <w:rFonts w:ascii="Arial" w:cs="Arial" w:eastAsia="Arial" w:hAnsi="Arial"/>
          <w:sz w:val="24"/>
          <w:szCs w:val="24"/>
        </w:rPr>
        <w:t xml:space="preserve">"Результат, выданный внутренним рейтингом рисков банка, содержащий значение рейтинга о целесообразности/нецелесообразности предоставления клиенту/партнеру финансирования, может рассматриваться как заключение по финансированию.";</w:t>
      </w:r>
    </w:p>
    <w:p>
      <w:pPr>
        <w:spacing w:after="60"/>
        <w:ind w:firstLine="567"/>
        <w:jc w:val="both"/>
      </w:pPr>
      <w:r>
        <w:rPr>
          <w:rFonts w:ascii="Arial" w:cs="Arial" w:eastAsia="Arial" w:hAnsi="Arial"/>
          <w:sz w:val="24"/>
          <w:szCs w:val="24"/>
        </w:rPr>
        <w:t xml:space="preserve">- в пункте 43 предложение второе изложить в следующей редакции:</w:t>
      </w:r>
    </w:p>
    <w:p>
      <w:pPr>
        <w:spacing w:after="60"/>
        <w:ind w:firstLine="567"/>
        <w:jc w:val="both"/>
      </w:pPr>
      <w:r>
        <w:rPr>
          <w:rFonts w:ascii="Arial" w:cs="Arial" w:eastAsia="Arial" w:hAnsi="Arial"/>
          <w:sz w:val="24"/>
          <w:szCs w:val="24"/>
        </w:rPr>
        <w:t xml:space="preserve">"При этом банк не вправе в одностороннем порядке менять первоначальные условия договора, если это ухудшает права и/или увеличивает обязанности клиента/партнера.";</w:t>
      </w:r>
    </w:p>
    <w:p>
      <w:pPr>
        <w:spacing w:after="60"/>
        <w:ind w:firstLine="567"/>
        <w:jc w:val="both"/>
      </w:pPr>
      <w:r>
        <w:rPr>
          <w:rFonts w:ascii="Arial" w:cs="Arial" w:eastAsia="Arial" w:hAnsi="Arial"/>
          <w:sz w:val="24"/>
          <w:szCs w:val="24"/>
        </w:rPr>
        <w:t xml:space="preserve">- абзац восьмой пункта 44 изложить в следующей редакции:</w:t>
      </w:r>
    </w:p>
    <w:p>
      <w:pPr>
        <w:spacing w:after="60"/>
        <w:ind w:firstLine="567"/>
        <w:jc w:val="both"/>
      </w:pPr>
      <w:r>
        <w:rPr>
          <w:rFonts w:ascii="Arial" w:cs="Arial" w:eastAsia="Arial" w:hAnsi="Arial"/>
          <w:sz w:val="24"/>
          <w:szCs w:val="24"/>
        </w:rPr>
        <w:t xml:space="preserve">"- право клиента на досрочное погашение актива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При этом указанное условие устанавливает срок, по истечении которого (после направления уведомления) клиент может произвести досрочное погашение актива.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60"/>
        <w:ind w:firstLine="567"/>
        <w:jc w:val="both"/>
      </w:pPr>
      <w:r>
        <w:rPr>
          <w:rFonts w:ascii="Arial" w:cs="Arial" w:eastAsia="Arial" w:hAnsi="Arial"/>
          <w:sz w:val="24"/>
          <w:szCs w:val="24"/>
        </w:rPr>
        <w:t xml:space="preserve">- пункт 45 изложить в следующей редакции:</w:t>
      </w:r>
    </w:p>
    <w:p>
      <w:pPr>
        <w:spacing w:after="60"/>
        <w:ind w:firstLine="567"/>
        <w:jc w:val="both"/>
      </w:pPr>
      <w:r>
        <w:rPr>
          <w:rFonts w:ascii="Arial" w:cs="Arial" w:eastAsia="Arial" w:hAnsi="Arial"/>
          <w:sz w:val="24"/>
          <w:szCs w:val="24"/>
        </w:rPr>
        <w:t xml:space="preserve">"45. Услуга, за которую банк взимает комиссионные и иные платежи, должна соответствовать следующим требованиям:</w:t>
      </w:r>
    </w:p>
    <w:p>
      <w:pPr>
        <w:spacing w:after="60"/>
        <w:ind w:firstLine="567"/>
        <w:jc w:val="both"/>
      </w:pPr>
      <w:r>
        <w:rPr>
          <w:rFonts w:ascii="Arial" w:cs="Arial" w:eastAsia="Arial" w:hAnsi="Arial"/>
          <w:sz w:val="24"/>
          <w:szCs w:val="24"/>
        </w:rPr>
        <w:t xml:space="preserve">- иметь для клиента/партнера отдельную выгоду или потребительскую ценность;</w:t>
      </w:r>
    </w:p>
    <w:p>
      <w:pPr>
        <w:spacing w:after="60"/>
        <w:ind w:firstLine="567"/>
        <w:jc w:val="both"/>
      </w:pPr>
      <w:r>
        <w:rPr>
          <w:rFonts w:ascii="Arial" w:cs="Arial" w:eastAsia="Arial" w:hAnsi="Arial"/>
          <w:sz w:val="24"/>
          <w:szCs w:val="24"/>
        </w:rPr>
        <w:t xml:space="preserve">- быть самостоятельной и независимой от основной услуги по предоставлению финансирования;</w:t>
      </w:r>
    </w:p>
    <w:p>
      <w:pPr>
        <w:spacing w:after="60"/>
        <w:ind w:firstLine="567"/>
        <w:jc w:val="both"/>
      </w:pPr>
      <w:r>
        <w:rPr>
          <w:rFonts w:ascii="Arial" w:cs="Arial" w:eastAsia="Arial" w:hAnsi="Arial"/>
          <w:sz w:val="24"/>
          <w:szCs w:val="24"/>
        </w:rPr>
        <w:t xml:space="preserve">- не относиться к услугам, которые предоставляются безвозмездно в соответствии с требованиями законодательства.</w:t>
      </w:r>
    </w:p>
    <w:p>
      <w:pPr>
        <w:spacing w:after="60"/>
        <w:ind w:firstLine="567"/>
        <w:jc w:val="both"/>
      </w:pPr>
      <w:r>
        <w:rPr>
          <w:rFonts w:ascii="Arial" w:cs="Arial" w:eastAsia="Arial" w:hAnsi="Arial"/>
          <w:sz w:val="24"/>
          <w:szCs w:val="24"/>
        </w:rPr>
        <w:t xml:space="preserve">Не допускается взимание банком денежных средств и комиссий за одну и ту же операцию.</w:t>
      </w:r>
    </w:p>
    <w:p>
      <w:pPr>
        <w:spacing w:after="60"/>
        <w:ind w:firstLine="567"/>
        <w:jc w:val="both"/>
      </w:pPr>
      <w:r>
        <w:rPr>
          <w:rFonts w:ascii="Arial" w:cs="Arial" w:eastAsia="Arial" w:hAnsi="Arial"/>
          <w:sz w:val="24"/>
          <w:szCs w:val="24"/>
        </w:rPr>
        <w:t xml:space="preserve">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договору и/или иных соглашений.</w:t>
      </w:r>
    </w:p>
    <w:p>
      <w:pPr>
        <w:spacing w:after="60"/>
        <w:ind w:firstLine="567"/>
        <w:jc w:val="both"/>
      </w:pPr>
      <w:r>
        <w:rPr>
          <w:rFonts w:ascii="Arial" w:cs="Arial" w:eastAsia="Arial" w:hAnsi="Arial"/>
          <w:sz w:val="24"/>
          <w:szCs w:val="24"/>
        </w:rPr>
        <w:t xml:space="preserve">Неотъемлемой частью договора между банком и клиентом/партнером является перечень расходов (платежей) клиентов/партнеров банка и штрафных санкций, который составляется в табличной форме в соответствии с Приложением 6 к настоящему Положению.</w:t>
      </w:r>
    </w:p>
    <w:p>
      <w:pPr>
        <w:spacing w:after="60"/>
        <w:ind w:firstLine="567"/>
        <w:jc w:val="both"/>
      </w:pPr>
      <w:r>
        <w:rPr>
          <w:rFonts w:ascii="Arial" w:cs="Arial" w:eastAsia="Arial" w:hAnsi="Arial"/>
          <w:sz w:val="24"/>
          <w:szCs w:val="24"/>
        </w:rPr>
        <w:t xml:space="preserve">В договоре финансирования запрещается включение дополнительных сборов, комиссионных и других платежей, помимо публикуемых или установленных банком, согласно Приложению 6 к настоящему Положению, а также иных сопутствующих услуг на платной основе, вне зависимости от договоренности с клиентом/партнером.</w:t>
      </w:r>
    </w:p>
    <w:p>
      <w:pPr>
        <w:spacing w:after="60"/>
        <w:ind w:firstLine="567"/>
        <w:jc w:val="both"/>
      </w:pPr>
      <w:r>
        <w:rPr>
          <w:rFonts w:ascii="Arial" w:cs="Arial" w:eastAsia="Arial" w:hAnsi="Arial"/>
          <w:sz w:val="24"/>
          <w:szCs w:val="24"/>
        </w:rPr>
        <w:t xml:space="preserve">Банк должен предоставить и ознакомить клиента с указанным перечнем и при необходимости предоставить клиенту/партнеру разъяснения по порядку расчетов актива, несущего в себе кредитный риск, пени, штрафа, порядку получения/погашения актива,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актив получен в иностранной валюте, а ожидаемый доход (или его часть) - в национальной валюте, и др., а также получить согласие клиента/партнера, свидетельством которого будет являться его подпись.</w:t>
      </w:r>
    </w:p>
    <w:p>
      <w:pPr>
        <w:spacing w:after="60"/>
        <w:ind w:firstLine="567"/>
        <w:jc w:val="both"/>
      </w:pPr>
      <w:r>
        <w:rPr>
          <w:rFonts w:ascii="Arial" w:cs="Arial" w:eastAsia="Arial" w:hAnsi="Arial"/>
          <w:sz w:val="24"/>
          <w:szCs w:val="24"/>
        </w:rPr>
        <w:t xml:space="preserve">При просрочке по выплате наценки по основной сумме финансирования и/или просрочке по выплате основной суммы финансирования начисление неустойки (штрафа, пени) должно производиться на сумму просроченной задолженности и за фактический срок просроченной задолженности.</w:t>
      </w:r>
    </w:p>
    <w:p>
      <w:pPr>
        <w:spacing w:after="60"/>
        <w:ind w:firstLine="567"/>
        <w:jc w:val="both"/>
      </w:pPr>
      <w:r>
        <w:rPr>
          <w:rFonts w:ascii="Arial" w:cs="Arial" w:eastAsia="Arial" w:hAnsi="Arial"/>
          <w:sz w:val="24"/>
          <w:szCs w:val="24"/>
        </w:rPr>
        <w:t xml:space="preserve">Банк должен указать все расходы клиента/партнера банка, связанные с предоставлением, использованием и возвратом актива, несущего в себе кредитный риск, согласно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клиента/партнера банк указывает по действующим тарифам третьих лиц на дату заключения договора с указанием того, что данные расходы могут измениться в будущем.</w:t>
      </w:r>
    </w:p>
    <w:p>
      <w:pPr>
        <w:spacing w:after="60"/>
        <w:ind w:firstLine="567"/>
        <w:jc w:val="both"/>
      </w:pPr>
      <w:r>
        <w:rPr>
          <w:rFonts w:ascii="Arial" w:cs="Arial" w:eastAsia="Arial" w:hAnsi="Arial"/>
          <w:sz w:val="24"/>
          <w:szCs w:val="24"/>
        </w:rPr>
        <w:t xml:space="preserve">Кроме того, договор должен содержать:</w:t>
      </w:r>
    </w:p>
    <w:p>
      <w:pPr>
        <w:spacing w:after="60"/>
        <w:ind w:firstLine="567"/>
        <w:jc w:val="both"/>
      </w:pPr>
      <w:r>
        <w:rPr>
          <w:rFonts w:ascii="Arial" w:cs="Arial" w:eastAsia="Arial" w:hAnsi="Arial"/>
          <w:sz w:val="24"/>
          <w:szCs w:val="24"/>
        </w:rPr>
        <w:t xml:space="preserve">- обязанность банков предоставлять в течение 3 (трех) рабочих дней по запросу клиента/партнера информацию о получении им актива, несущего в себе кредитный риск, и о соблюдении условий договора клиентом/партнером по данному активу, несущему в себе кредитный риск, для ее предоставления в другую финансово-кредитную организацию, а также предоставлять четкую и точную информацию о счете клиента/партнера (выписки со счета, чека, состояние баланса, подтверждение платежа по финансированию и другую необходимую информацию);</w:t>
      </w:r>
    </w:p>
    <w:p>
      <w:pPr>
        <w:spacing w:after="6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pPr>
        <w:spacing w:after="60"/>
        <w:ind w:firstLine="567"/>
        <w:jc w:val="both"/>
      </w:pPr>
      <w:r>
        <w:rPr>
          <w:rFonts w:ascii="Arial" w:cs="Arial" w:eastAsia="Arial" w:hAnsi="Arial"/>
          <w:sz w:val="24"/>
          <w:szCs w:val="24"/>
        </w:rPr>
        <w:t xml:space="preserve">- обязанность банка прекратить начисление неустойки (штрафов, пени) по истечении 15 (пятнадцати) дней с момента направления извещения о начале процедуры обращения взыскания на предмет залога по активу, несущему в себе кредитный риск, клиента/партнера - физического лица, в том числе индивидуального предпринимателя без образования юридического лица. Штрафные санкции и пени могут применяться в случаях, предусмотренных стандартами шариата. Размер неустойки (штрафов, пени), начисленной за весь период действия финансирования, не должен превышать 20 (двадцати) процентов от суммы выданного финансирования. При этом денежные средства, полученные в виде неустойки (штрафа, пени), должны быть направлены на благотворительные цели в организации, не аффилированные с финансово-кредитной организацией;</w:t>
      </w:r>
    </w:p>
    <w:p>
      <w:pPr>
        <w:spacing w:after="60"/>
        <w:ind w:firstLine="567"/>
        <w:jc w:val="both"/>
      </w:pPr>
      <w:r>
        <w:rPr>
          <w:rFonts w:ascii="Arial" w:cs="Arial" w:eastAsia="Arial" w:hAnsi="Arial"/>
          <w:sz w:val="24"/>
          <w:szCs w:val="24"/>
        </w:rPr>
        <w:t xml:space="preserve">- обязанность клиента/партнера физического лица, в том числе индивидуального предпринимателя, предоставлять информацию о наличии кредитов и активов, несущих в себе кредитный риск, в других финансово-кредитных организациях, включая кредиты и активы, несущие кредитный риск, супруга(и), родителей и детей, и о соблюдении кредитной дисциплины по данным кредитам и активам не реже чем один раз в полгода.";</w:t>
      </w:r>
    </w:p>
    <w:p>
      <w:pPr>
        <w:spacing w:after="60"/>
        <w:ind w:firstLine="567"/>
        <w:jc w:val="both"/>
      </w:pPr>
      <w:r>
        <w:rPr>
          <w:rFonts w:ascii="Arial" w:cs="Arial" w:eastAsia="Arial" w:hAnsi="Arial"/>
          <w:sz w:val="24"/>
          <w:szCs w:val="24"/>
        </w:rPr>
        <w:t xml:space="preserve">- пункт 47 дополнить абзацем вторым следующего содержания:</w:t>
      </w:r>
    </w:p>
    <w:p>
      <w:pPr>
        <w:spacing w:after="60"/>
        <w:ind w:firstLine="567"/>
        <w:jc w:val="both"/>
      </w:pPr>
      <w:r>
        <w:rPr>
          <w:rFonts w:ascii="Arial" w:cs="Arial" w:eastAsia="Arial" w:hAnsi="Arial"/>
          <w:sz w:val="24"/>
          <w:szCs w:val="24"/>
        </w:rPr>
        <w:t xml:space="preserve">"Примечание: При выявлении фактов использования клиентом/партнером финансирования по нецелевому назначению банк вправе применить штрафные санкции по финансированию. При этом внутренними документами банка должны быть предусмотрены нормы, устанавливающие четкие правила по мерам ответственности клиента/партнера, в том числе применение штрафных санкций по финансированию. В этом случае денежные средства, полученные в виде штрафных санкций, должны быть направлены на благотворительные цели в организации, не аффилированные с финансово-кредитным учреждением.";</w:t>
      </w:r>
    </w:p>
    <w:p>
      <w:pPr>
        <w:spacing w:after="60"/>
        <w:ind w:firstLine="567"/>
        <w:jc w:val="both"/>
      </w:pPr>
      <w:r>
        <w:rPr>
          <w:rFonts w:ascii="Arial" w:cs="Arial" w:eastAsia="Arial" w:hAnsi="Arial"/>
          <w:sz w:val="24"/>
          <w:szCs w:val="24"/>
        </w:rPr>
        <w:t xml:space="preserve">- абзац первый пункта 49 изложить в следующей редакции:</w:t>
      </w:r>
    </w:p>
    <w:p>
      <w:pPr>
        <w:spacing w:after="60"/>
        <w:ind w:firstLine="567"/>
        <w:jc w:val="both"/>
      </w:pPr>
      <w:r>
        <w:rPr>
          <w:rFonts w:ascii="Arial" w:cs="Arial" w:eastAsia="Arial" w:hAnsi="Arial"/>
          <w:sz w:val="24"/>
          <w:szCs w:val="24"/>
        </w:rPr>
        <w:t xml:space="preserve">"Каждый лист договора со всеми приложениями должен быть подписан клиентом/партнером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60"/>
        <w:ind w:firstLine="567"/>
        <w:jc w:val="both"/>
      </w:pPr>
      <w:r>
        <w:rPr>
          <w:rFonts w:ascii="Arial" w:cs="Arial" w:eastAsia="Arial" w:hAnsi="Arial"/>
          <w:sz w:val="24"/>
          <w:szCs w:val="24"/>
        </w:rPr>
        <w:t xml:space="preserve">- в пункте 57:</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предмет залога и его залоговая стоимость (с учетом залогового коэффициента);";</w:t>
      </w:r>
    </w:p>
    <w:p>
      <w:pPr>
        <w:spacing w:after="60"/>
        <w:ind w:firstLine="567"/>
        <w:jc w:val="both"/>
      </w:pPr>
      <w:r>
        <w:rPr>
          <w:rFonts w:ascii="Arial" w:cs="Arial" w:eastAsia="Arial" w:hAnsi="Arial"/>
          <w:sz w:val="24"/>
          <w:szCs w:val="24"/>
        </w:rPr>
        <w:t xml:space="preserve">дополнить абзацем девятым следующего содержания:</w:t>
      </w:r>
    </w:p>
    <w:p>
      <w:pPr>
        <w:spacing w:after="60"/>
        <w:ind w:firstLine="567"/>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осуществляющих государственную регистрацию залога.";</w:t>
      </w:r>
    </w:p>
    <w:p>
      <w:pPr>
        <w:spacing w:after="60"/>
        <w:ind w:firstLine="567"/>
        <w:jc w:val="both"/>
      </w:pPr>
      <w:r>
        <w:rPr>
          <w:rFonts w:ascii="Arial" w:cs="Arial" w:eastAsia="Arial" w:hAnsi="Arial"/>
          <w:sz w:val="24"/>
          <w:szCs w:val="24"/>
        </w:rPr>
        <w:t xml:space="preserve">- в пункте 62:</w:t>
      </w:r>
    </w:p>
    <w:p>
      <w:pPr>
        <w:spacing w:after="60"/>
        <w:ind w:firstLine="567"/>
        <w:jc w:val="both"/>
      </w:pPr>
      <w:r>
        <w:rPr>
          <w:rFonts w:ascii="Arial" w:cs="Arial" w:eastAsia="Arial" w:hAnsi="Arial"/>
          <w:sz w:val="24"/>
          <w:szCs w:val="24"/>
        </w:rPr>
        <w:t xml:space="preserve">в абзаце втором первое предложение исключить;</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"Примечание: В максимальный размер риска по бланковым активам также должны включаться все активы, несущие в себе кредитный риск, не обеспеченные залогом, выданные до даты вступления в силу постановления Правления Национального банка от "___" ___________ 20__ года № ___ и не соответствующие требованиям, указанным в данном постановлении Правления Национального банка.";</w:t>
      </w:r>
    </w:p>
    <w:p>
      <w:pPr>
        <w:spacing w:after="60"/>
        <w:ind w:firstLine="567"/>
        <w:jc w:val="both"/>
      </w:pPr>
      <w:r>
        <w:rPr>
          <w:rFonts w:ascii="Arial" w:cs="Arial" w:eastAsia="Arial" w:hAnsi="Arial"/>
          <w:sz w:val="24"/>
          <w:szCs w:val="24"/>
        </w:rPr>
        <w:t xml:space="preserve">- в пункте 65: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"Банк вправе осуществлять расчет норматива максимального размера риска по бланковым активам, несущим в себе кредитный риск, в части группового финансирования в соответствии с пунктом 66 настоящего Положения, при соблюдении всех следующих условий:";</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sz w:val="24"/>
          <w:szCs w:val="24"/>
        </w:rPr>
        <w:t xml:space="preserve">- </w:t>
      </w:r>
      <w:hyperlink w:history="1" r:id="rId0us0pgbtmzfbhodpmpef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65-1 следующего содержания:</w:t>
      </w:r>
    </w:p>
    <w:p>
      <w:pPr>
        <w:spacing w:after="60"/>
        <w:ind w:firstLine="567"/>
        <w:jc w:val="both"/>
      </w:pPr>
      <w:r>
        <w:rPr>
          <w:rFonts w:ascii="Arial" w:cs="Arial" w:eastAsia="Arial" w:hAnsi="Arial"/>
          <w:sz w:val="24"/>
          <w:szCs w:val="24"/>
        </w:rPr>
        <w:t xml:space="preserve">"65-1. Требования пункта 65 настоящего Положения не распространяются на расчет норматива максимального размера риска по бланковым активам для банков, в которых доля групповых активов, несущих в себе кредитный риск, от общего портфеля финансирования составляет 5% и менее, а также для банков, которые утвердили стратегию (план) по снижению портфеля групповых активов до 5% и менее в срок до 31 декабря 2021 года.";</w:t>
      </w:r>
    </w:p>
    <w:p>
      <w:pPr>
        <w:spacing w:after="60"/>
        <w:ind w:firstLine="567"/>
        <w:jc w:val="both"/>
      </w:pPr>
      <w:r>
        <w:rPr>
          <w:rFonts w:ascii="Arial" w:cs="Arial" w:eastAsia="Arial" w:hAnsi="Arial"/>
          <w:sz w:val="24"/>
          <w:szCs w:val="24"/>
        </w:rPr>
        <w:t xml:space="preserve">- в пункте 66:</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"При расчете норматива максимального размера риска по бланковым активам, несущим в себе кредитный риск, исключаются групповые активы, несущие в себе кредитный риск, предоставленные под солидарную ответственность членов ГСО, если они отвечают всем следующим критериям:";</w:t>
      </w:r>
    </w:p>
    <w:p>
      <w:pPr>
        <w:spacing w:after="60"/>
        <w:ind w:firstLine="567"/>
        <w:jc w:val="both"/>
      </w:pPr>
      <w:r>
        <w:rPr>
          <w:rFonts w:ascii="Arial" w:cs="Arial" w:eastAsia="Arial" w:hAnsi="Arial"/>
          <w:sz w:val="24"/>
          <w:szCs w:val="24"/>
        </w:rPr>
        <w:t xml:space="preserve">в абзаце втором слова "не более 2500000 сом" заменить словами "не более 1500000 сомов";</w:t>
      </w:r>
    </w:p>
    <w:p>
      <w:pPr>
        <w:spacing w:after="60"/>
        <w:ind w:firstLine="567"/>
        <w:jc w:val="both"/>
      </w:pPr>
      <w:r>
        <w:rPr>
          <w:rFonts w:ascii="Arial" w:cs="Arial" w:eastAsia="Arial" w:hAnsi="Arial"/>
          <w:sz w:val="24"/>
          <w:szCs w:val="24"/>
        </w:rPr>
        <w:t xml:space="preserve">дополнить абзацем пятым следующего содержания:</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pPr>
        <w:spacing w:after="60"/>
        <w:ind w:firstLine="567"/>
        <w:jc w:val="both"/>
      </w:pPr>
      <w:r>
        <w:rPr>
          <w:rFonts w:ascii="Arial" w:cs="Arial" w:eastAsia="Arial" w:hAnsi="Arial"/>
          <w:sz w:val="24"/>
          <w:szCs w:val="24"/>
        </w:rPr>
        <w:t xml:space="preserve">- </w:t>
      </w:r>
      <w:hyperlink w:history="1" r:id="rIdersptx7eq2pfrv1b8-rm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66-1 следующего содержания:</w:t>
      </w:r>
    </w:p>
    <w:p>
      <w:pPr>
        <w:spacing w:after="60"/>
        <w:ind w:firstLine="567"/>
        <w:jc w:val="both"/>
      </w:pPr>
      <w:r>
        <w:rPr>
          <w:rFonts w:ascii="Arial" w:cs="Arial" w:eastAsia="Arial" w:hAnsi="Arial"/>
          <w:sz w:val="24"/>
          <w:szCs w:val="24"/>
        </w:rPr>
        <w:t xml:space="preserve">"66-1. При расчете норматива максимального размера риска по бланковым активам, несущим в себе кредитный риск, исключаются активы в форме контрактного финансирования, которые отвечают всем следующим критериям:</w:t>
      </w:r>
    </w:p>
    <w:p>
      <w:pPr>
        <w:spacing w:after="60"/>
        <w:ind w:firstLine="567"/>
        <w:jc w:val="both"/>
      </w:pPr>
      <w:r>
        <w:rPr>
          <w:rFonts w:ascii="Arial" w:cs="Arial" w:eastAsia="Arial" w:hAnsi="Arial"/>
          <w:sz w:val="24"/>
          <w:szCs w:val="24"/>
        </w:rPr>
        <w:t xml:space="preserve">- остаток задолженности по активу в форме контрактного финансирования составляет не более 3% от общего объема портфеля финансирования банка;</w:t>
      </w:r>
    </w:p>
    <w:p>
      <w:pPr>
        <w:spacing w:after="60"/>
        <w:ind w:firstLine="567"/>
        <w:jc w:val="both"/>
      </w:pPr>
      <w:r>
        <w:rPr>
          <w:rFonts w:ascii="Arial" w:cs="Arial" w:eastAsia="Arial" w:hAnsi="Arial"/>
          <w:sz w:val="24"/>
          <w:szCs w:val="24"/>
        </w:rPr>
        <w:t xml:space="preserve">- доля просроченных активов, выданных в форме контрактного финансирования, в общем объеме портфеля финансирования составляет в течение последних 6 (шести) месяцев не более 1%, а в общем объеме данных активов, несущих в себе кредитный риск, в течение последних 12 (двенадцати) месяцев не превышает 2%;</w:t>
      </w:r>
    </w:p>
    <w:p>
      <w:pPr>
        <w:spacing w:after="60"/>
        <w:ind w:firstLine="567"/>
        <w:jc w:val="both"/>
      </w:pPr>
      <w:r>
        <w:rPr>
          <w:rFonts w:ascii="Arial" w:cs="Arial" w:eastAsia="Arial" w:hAnsi="Arial"/>
          <w:sz w:val="24"/>
          <w:szCs w:val="24"/>
        </w:rPr>
        <w:t xml:space="preserve">- расчеты между клиентом/партнером и его контрагентами по контрактному финансированию осуществляются только через счета клиента/партнера в данном банке;</w:t>
      </w:r>
    </w:p>
    <w:p>
      <w:pPr>
        <w:spacing w:after="60"/>
        <w:ind w:firstLine="567"/>
        <w:jc w:val="both"/>
      </w:pPr>
      <w:r>
        <w:rPr>
          <w:rFonts w:ascii="Arial" w:cs="Arial" w:eastAsia="Arial" w:hAnsi="Arial"/>
          <w:sz w:val="24"/>
          <w:szCs w:val="24"/>
        </w:rPr>
        <w:t xml:space="preserve">- клиент/партнер, получивший актив, несущий в себе кредитный риск, его гарант/поручитель (если имеется), а также контрагент данного клиента/партнера не являются связанными с банком лицами или аффилированными лицами банка.</w:t>
      </w:r>
    </w:p>
    <w:p>
      <w:pPr>
        <w:spacing w:after="60"/>
        <w:ind w:firstLine="567"/>
        <w:jc w:val="both"/>
      </w:pPr>
      <w:r>
        <w:rPr>
          <w:rFonts w:ascii="Arial" w:cs="Arial" w:eastAsia="Arial" w:hAnsi="Arial"/>
          <w:sz w:val="24"/>
          <w:szCs w:val="24"/>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____________ 20__ года № ___."; </w:t>
      </w:r>
    </w:p>
    <w:p>
      <w:pPr>
        <w:spacing w:after="60"/>
        <w:ind w:firstLine="567"/>
        <w:jc w:val="both"/>
      </w:pPr>
      <w:r>
        <w:rPr>
          <w:rFonts w:ascii="Arial" w:cs="Arial" w:eastAsia="Arial" w:hAnsi="Arial"/>
          <w:sz w:val="24"/>
          <w:szCs w:val="24"/>
        </w:rPr>
        <w:t xml:space="preserve">- в пункте 68-1:</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не реже одного раза в год для остальных активов, за исключением активов до 100000 сомов. По активам до 100000 сомов проводится платежный мониторинг, предполагающий анализ на основе произведенных платежей по активу.";</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актива, несущего в себе кредитный риск,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клиентом/партнером обязательства и взысканию задолженности с гаранта/поручителя.";</w:t>
      </w:r>
    </w:p>
    <w:p>
      <w:pPr>
        <w:spacing w:after="60"/>
        <w:ind w:firstLine="567"/>
        <w:jc w:val="both"/>
      </w:pPr>
      <w:r>
        <w:rPr>
          <w:rFonts w:ascii="Arial" w:cs="Arial" w:eastAsia="Arial" w:hAnsi="Arial"/>
          <w:sz w:val="24"/>
          <w:szCs w:val="24"/>
        </w:rPr>
        <w:t xml:space="preserve">- в пункте 74 абзацы пятый и восьмой признать утратившими силу;</w:t>
      </w:r>
    </w:p>
    <w:p>
      <w:pPr>
        <w:spacing w:after="60"/>
        <w:ind w:firstLine="567"/>
        <w:jc w:val="both"/>
      </w:pPr>
      <w:r>
        <w:rPr>
          <w:rFonts w:ascii="Arial" w:cs="Arial" w:eastAsia="Arial" w:hAnsi="Arial"/>
          <w:sz w:val="24"/>
          <w:szCs w:val="24"/>
        </w:rPr>
        <w:t xml:space="preserve">- пункт 80 изложить в следующей редакции:</w:t>
      </w:r>
    </w:p>
    <w:p>
      <w:pPr>
        <w:spacing w:after="60"/>
        <w:ind w:firstLine="567"/>
        <w:jc w:val="both"/>
      </w:pPr>
      <w:r>
        <w:rPr>
          <w:rFonts w:ascii="Arial" w:cs="Arial" w:eastAsia="Arial" w:hAnsi="Arial"/>
          <w:sz w:val="24"/>
          <w:szCs w:val="24"/>
        </w:rPr>
        <w:t xml:space="preserve">"80. Мероприятия по организационной, финансовой и иной помощи банка проблемному клиенту, способствующие преодолению кризиса и выполнению обязательств клиента перед банком, могут включать:</w:t>
      </w:r>
    </w:p>
    <w:p>
      <w:pPr>
        <w:spacing w:after="60"/>
        <w:ind w:firstLine="567"/>
        <w:jc w:val="both"/>
      </w:pPr>
      <w:r>
        <w:rPr>
          <w:rFonts w:ascii="Arial" w:cs="Arial" w:eastAsia="Arial" w:hAnsi="Arial"/>
          <w:sz w:val="24"/>
          <w:szCs w:val="24"/>
        </w:rPr>
        <w:t xml:space="preserve">- работу с клиентом (его руководством) по выявлению проблем и поиску их решений;</w:t>
      </w:r>
    </w:p>
    <w:p>
      <w:pPr>
        <w:spacing w:after="60"/>
        <w:ind w:firstLine="567"/>
        <w:jc w:val="both"/>
      </w:pPr>
      <w:r>
        <w:rPr>
          <w:rFonts w:ascii="Arial" w:cs="Arial" w:eastAsia="Arial" w:hAnsi="Arial"/>
          <w:sz w:val="24"/>
          <w:szCs w:val="24"/>
        </w:rPr>
        <w:t xml:space="preserve">- назначение с согласия клиента/партнера управляющих, консультантов для работы с предприятием клиента/партнера от имени банка;</w:t>
      </w:r>
    </w:p>
    <w:p>
      <w:pPr>
        <w:spacing w:after="60"/>
        <w:ind w:firstLine="567"/>
        <w:jc w:val="both"/>
      </w:pPr>
      <w:r>
        <w:rPr>
          <w:rFonts w:ascii="Arial" w:cs="Arial" w:eastAsia="Arial" w:hAnsi="Arial"/>
          <w:sz w:val="24"/>
          <w:szCs w:val="24"/>
        </w:rPr>
        <w:t xml:space="preserve">- содействие в увеличении собственного капитала компании за счет владельцев или других сторон;</w:t>
      </w:r>
    </w:p>
    <w:p>
      <w:pPr>
        <w:spacing w:after="60"/>
        <w:ind w:firstLine="567"/>
        <w:jc w:val="both"/>
      </w:pPr>
      <w:r>
        <w:rPr>
          <w:rFonts w:ascii="Arial" w:cs="Arial" w:eastAsia="Arial" w:hAnsi="Arial"/>
          <w:sz w:val="24"/>
          <w:szCs w:val="24"/>
        </w:rPr>
        <w:t xml:space="preserve">- в случае необходимости разработку программы изменения структуры задолженности (пересмотр графика платежей по возврату актива, несущего в себе кредитный риск, и выплате наценки/дохода по нему, изменение форм финансирования и др.);</w:t>
      </w:r>
    </w:p>
    <w:p>
      <w:pPr>
        <w:spacing w:after="60"/>
        <w:ind w:firstLine="567"/>
        <w:jc w:val="both"/>
      </w:pPr>
      <w:r>
        <w:rPr>
          <w:rFonts w:ascii="Arial" w:cs="Arial" w:eastAsia="Arial" w:hAnsi="Arial"/>
          <w:sz w:val="24"/>
          <w:szCs w:val="24"/>
        </w:rPr>
        <w:t xml:space="preserve">- получение дополнительного залога и гарантий и др.</w:t>
      </w:r>
    </w:p>
    <w:p>
      <w:pPr>
        <w:spacing w:after="60"/>
        <w:ind w:firstLine="567"/>
        <w:jc w:val="both"/>
      </w:pPr>
      <w:r>
        <w:rPr>
          <w:rFonts w:ascii="Arial" w:cs="Arial" w:eastAsia="Arial" w:hAnsi="Arial"/>
          <w:sz w:val="24"/>
          <w:szCs w:val="24"/>
        </w:rPr>
        <w:t xml:space="preserve">При реструктуризации актива, несущего в себе кредитный риск, банку необходимо рассматривать текущее финансовое состояние и степень доверия банка к клиенту/партнеру. Банк может реструктуризировать актив только в том случае, если клиент/партнер имеет реальные возможности по исполнению своих обязательств по измененным условиям своего актива, что должно подтверждаться проведенным анализом и соответствующими документами.</w:t>
      </w:r>
    </w:p>
    <w:p>
      <w:pPr>
        <w:spacing w:after="60"/>
        <w:ind w:firstLine="567"/>
        <w:jc w:val="both"/>
      </w:pPr>
      <w:r>
        <w:rPr>
          <w:rFonts w:ascii="Arial" w:cs="Arial" w:eastAsia="Arial" w:hAnsi="Arial"/>
          <w:sz w:val="24"/>
          <w:szCs w:val="24"/>
        </w:rPr>
        <w:t xml:space="preserve">Досье клиента/партнера, чей актив был реструктурирован, должно включать в себя всю информацию о текущем финансовом состоянии клиента/партнера и его возможности погасить актив, несущий в себе кредитный риск, а также информацию и соответствующие документы о проведенной реструктуризации.";</w:t>
      </w:r>
    </w:p>
    <w:p>
      <w:pPr>
        <w:spacing w:after="60"/>
        <w:ind w:firstLine="567"/>
        <w:jc w:val="both"/>
      </w:pPr>
      <w:r>
        <w:rPr>
          <w:rFonts w:ascii="Arial" w:cs="Arial" w:eastAsia="Arial" w:hAnsi="Arial"/>
          <w:sz w:val="24"/>
          <w:szCs w:val="24"/>
        </w:rPr>
        <w:t xml:space="preserve">- в пункте 85 слово "ежемесячной" заменить словом "ежеквартальной";</w:t>
      </w:r>
    </w:p>
    <w:p>
      <w:pPr>
        <w:spacing w:after="60"/>
        <w:ind w:firstLine="567"/>
        <w:jc w:val="both"/>
      </w:pPr>
      <w:r>
        <w:rPr>
          <w:rFonts w:ascii="Arial" w:cs="Arial" w:eastAsia="Arial" w:hAnsi="Arial"/>
          <w:sz w:val="24"/>
          <w:szCs w:val="24"/>
        </w:rPr>
        <w:t xml:space="preserve">- </w:t>
      </w:r>
      <w:hyperlink w:history="1" r:id="rIdtjsqrcnjutwtasnqtfek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86-1 следующего содержания:</w:t>
      </w:r>
    </w:p>
    <w:p>
      <w:pPr>
        <w:spacing w:after="60"/>
        <w:ind w:firstLine="567"/>
        <w:jc w:val="both"/>
      </w:pPr>
      <w:r>
        <w:rPr>
          <w:rFonts w:ascii="Arial" w:cs="Arial" w:eastAsia="Arial" w:hAnsi="Arial"/>
          <w:sz w:val="24"/>
          <w:szCs w:val="24"/>
        </w:rPr>
        <w:t xml:space="preserve">"86-1. Банк может инициировать процедуру обращения взыскания на заложенное недвижимое имущество по активу, несущему в себе кредитный риск, при систематическом нарушении исполнения обязательств клиентом/партнером более чем на 3 (три) последовательных месяца (согласно действующему графику погашения по договору клиента/партнера),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 в </w:t>
      </w:r>
      <w:hyperlink w:history="1" r:id="rIdry_8kpa2fitmmm85oy7rf">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пункт 2 изложить в следующей редакции:</w:t>
      </w:r>
    </w:p>
    <w:p>
      <w:pPr>
        <w:spacing w:after="60"/>
        <w:ind w:firstLine="567"/>
        <w:jc w:val="both"/>
      </w:pPr>
      <w:r>
        <w:rPr>
          <w:rFonts w:ascii="Arial" w:cs="Arial" w:eastAsia="Arial" w:hAnsi="Arial"/>
          <w:sz w:val="24"/>
          <w:szCs w:val="24"/>
        </w:rPr>
        <w:t xml:space="preserve">"2.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абзац первый пункта 9 изложить в следующей редакции:</w:t>
      </w:r>
    </w:p>
    <w:p>
      <w:pPr>
        <w:spacing w:after="60"/>
        <w:ind w:firstLine="567"/>
        <w:jc w:val="both"/>
      </w:pPr>
      <w:r>
        <w:rPr>
          <w:rFonts w:ascii="Arial" w:cs="Arial" w:eastAsia="Arial" w:hAnsi="Arial"/>
          <w:sz w:val="24"/>
          <w:szCs w:val="24"/>
        </w:rPr>
        <w:t xml:space="preserve">"Документ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активы, несущие в себе кредитный риск, в рамках правительственных программ, направленных на развитие сельского хозяйства.";</w:t>
      </w:r>
    </w:p>
    <w:p>
      <w:pPr>
        <w:spacing w:after="60"/>
        <w:ind w:firstLine="567"/>
        <w:jc w:val="both"/>
      </w:pPr>
      <w:r>
        <w:rPr>
          <w:rFonts w:ascii="Arial" w:cs="Arial" w:eastAsia="Arial" w:hAnsi="Arial"/>
          <w:sz w:val="24"/>
          <w:szCs w:val="24"/>
        </w:rPr>
        <w:t xml:space="preserve">в пункте 25 слова "оценочная стоимость залога" заменить словами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в пункте 28 слова "оценочная стоимость залога" заменить словами "рыночная стоимость залога (при необходимости с учетом применения установленных коэффициентов)";</w:t>
      </w:r>
    </w:p>
    <w:p>
      <w:pPr>
        <w:spacing w:after="60"/>
        <w:ind w:firstLine="567"/>
        <w:jc w:val="both"/>
      </w:pPr>
      <w:r>
        <w:rPr>
          <w:rFonts w:ascii="Arial" w:cs="Arial" w:eastAsia="Arial" w:hAnsi="Arial"/>
          <w:sz w:val="24"/>
          <w:szCs w:val="24"/>
        </w:rPr>
        <w:t xml:space="preserve">- в </w:t>
      </w:r>
      <w:hyperlink w:history="1" r:id="rIdh9kjelq5jmfxlo8f9tuk4">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пункт 7 признать утратившим силу;</w:t>
      </w:r>
    </w:p>
    <w:p>
      <w:pPr>
        <w:spacing w:after="60"/>
        <w:ind w:firstLine="567"/>
        <w:jc w:val="both"/>
      </w:pPr>
      <w:r>
        <w:rPr>
          <w:rFonts w:ascii="Arial" w:cs="Arial" w:eastAsia="Arial" w:hAnsi="Arial"/>
          <w:sz w:val="24"/>
          <w:szCs w:val="24"/>
        </w:rPr>
        <w:t xml:space="preserve">- </w:t>
      </w:r>
      <w:hyperlink w:history="1" r:id="rIdlyazsthexl7uduwmm9ab7">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 </w:t>
      </w:r>
      <w:hyperlink w:history="1" r:id="rIdh7pir0df_zy-nwmj6uiwu">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i/>
          <w:iCs/>
          <w:sz w:val="24"/>
          <w:szCs w:val="24"/>
        </w:rPr>
        <w:t xml:space="preserve">Примечание ИЦ "Токтом": Количество абзацев в пункте 2 настоящего п</w:t>
      </w:r>
      <w:r>
        <w:rPr>
          <w:rFonts w:ascii="Arial" w:cs="Arial" w:eastAsia="Arial" w:hAnsi="Arial"/>
          <w:i/>
          <w:iCs/>
          <w:sz w:val="24"/>
          <w:szCs w:val="24"/>
        </w:rPr>
        <w:t xml:space="preserve">рило</w:t>
      </w:r>
      <w:r>
        <w:rPr>
          <w:rFonts w:ascii="Arial" w:cs="Arial" w:eastAsia="Arial" w:hAnsi="Arial"/>
          <w:i/>
          <w:iCs/>
          <w:sz w:val="24"/>
          <w:szCs w:val="24"/>
        </w:rPr>
        <w:t xml:space="preserve">жения не соответствует количеству абзацев в пункте 2 текста на государственном языке.</w:t>
      </w:r>
    </w:p>
    <w:p>
      <w:pPr>
        <w:spacing w:after="120"/>
        <w:jc w:val="center"/>
      </w:pPr>
      <w:r>
        <w:rPr>
          <w:rFonts w:ascii="Arial" w:cs="Arial" w:eastAsia="Arial" w:hAnsi="Arial"/>
          <w:sz w:val="24"/>
          <w:szCs w:val="24"/>
        </w:rPr>
        <w:t xml:space="preserve">"</w:t>
      </w:r>
      <w:hyperlink w:history="1" r:id="rIdgsao5dy7oy3xkftotjovq">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p>
      <w:pPr>
        <w:spacing w:after="200" w:before="2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расходов (платежей) клиентов/партнеров банка и штрафных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Расходы (платежи) клиента/партнера банка по активу, несущему кредитный риск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актива, несущего кредитный риск</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Наценка/доход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(оформление актива, несущего кредитный риск) в случае отказа от получения актива с момента подписания договора финансирования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их размеры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договора) и обслуживание (если операции по активу, несущему кредитный риск, проводятся в безналичной форме) расчетного (текущего) счета/счета по банковским вкладам (депозитам) до востребования</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клиентом/партнером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клиента/партнера (за исключением случаев реструктуризации активов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линии финансирования), если договором предусмотрено безусловное обязательство банка по предоставлению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актива, несущего кредитный риск, и по наценке/доходам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активу, несущему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актива, несущего в себе кредитный риск</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bqdaypn-rzdlxcm237o">
      <w:r>
        <w:rPr>
          <w:rFonts w:ascii="Arial" w:cs="Arial" w:eastAsia="Arial" w:hAnsi="Arial"/>
          <w:color w:val="132D3F"/>
          <w:sz w:val="16"/>
          <w:szCs w:val="16"/>
          <w:u w:val="single"/>
        </w:rPr>
        <w:t xml:space="preserve">dalil.kg/document/800768</w:t>
      </w:r>
    </w:hyperlink>
  </w:p>
  <w:p>
    <w:pPr>
      <w:spacing w:after="0" w:before="40"/>
      <w:jc w:val="center"/>
    </w:pPr>
    <w:hyperlink w:history="1" r:id="rIdzvtfcnosgz6pmasvpin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978d3x2mvofwxampxja" Type="http://schemas.openxmlformats.org/officeDocument/2006/relationships/hyperlink" Target="https://dalil.kg/document/111486#st_20" TargetMode="External"/><Relationship Id="rIdi9oqj0xgzzlxms3uswto0" Type="http://schemas.openxmlformats.org/officeDocument/2006/relationships/hyperlink" Target="https://dalil.kg/document/111486#st_68" TargetMode="External"/><Relationship Id="rIdd8qtxnml8to_tnfoy7-rn" Type="http://schemas.openxmlformats.org/officeDocument/2006/relationships/hyperlink" Target="https://dalil.kg/document/800768" TargetMode="External"/><Relationship Id="rId_gs2n_0zbft_tsnjekixs" Type="http://schemas.openxmlformats.org/officeDocument/2006/relationships/hyperlink" Target="https://dalil.kg/document/301269" TargetMode="External"/><Relationship Id="rIdflw6lit8q0ijmpbiwxq6f" Type="http://schemas.openxmlformats.org/officeDocument/2006/relationships/hyperlink" Target="https://dalil.kg/document/302788" TargetMode="External"/><Relationship Id="rId6ctbxzazrwq9yptehzbsw" Type="http://schemas.openxmlformats.org/officeDocument/2006/relationships/hyperlink" Target="https://dalil.kg/document/302787" TargetMode="External"/><Relationship Id="rIduxrxgxzjk04fhvwwnd00m" Type="http://schemas.openxmlformats.org/officeDocument/2006/relationships/hyperlink" Target="https://dalil.kg/document/301269" TargetMode="External"/><Relationship Id="rIdkbnkkuoazta6ahl77yboc" Type="http://schemas.openxmlformats.org/officeDocument/2006/relationships/hyperlink" Target="https://dalil.kg/document/302787" TargetMode="External"/><Relationship Id="rId2jkjv4p9sx-iqn2k_xhgk" Type="http://schemas.openxmlformats.org/officeDocument/2006/relationships/hyperlink" Target="https://dalil.kg/document/301269" TargetMode="External"/><Relationship Id="rIda1pmxk2e_usrtycqk6jyg" Type="http://schemas.openxmlformats.org/officeDocument/2006/relationships/hyperlink" Target="https://dalil.kg/document/302787" TargetMode="External"/><Relationship Id="rIdlgekfcbgk51dheuu9jvap" Type="http://schemas.openxmlformats.org/officeDocument/2006/relationships/hyperlink" Target="https://dalil.kg/document/302788" TargetMode="External"/><Relationship Id="rIdrnflmscsux5wbjk5pyygs" Type="http://schemas.openxmlformats.org/officeDocument/2006/relationships/hyperlink" Target="https://dalil.kg/document/302787" TargetMode="External"/><Relationship Id="rIdsijwgpas9xo1flriizql7" Type="http://schemas.openxmlformats.org/officeDocument/2006/relationships/hyperlink" Target="https://dalil.kg/document/302787" TargetMode="External"/><Relationship Id="rId3i3fcx037kvwfuugz8lwy" Type="http://schemas.openxmlformats.org/officeDocument/2006/relationships/hyperlink" Target="https://dalil.kg/document/302788" TargetMode="External"/><Relationship Id="rIdmkjjwwupblakwxtu1nw2m" Type="http://schemas.openxmlformats.org/officeDocument/2006/relationships/hyperlink" Target="https://dalil.kg/document/302787" TargetMode="External"/><Relationship Id="rIdivbuekufmr0agvwcagbhj" Type="http://schemas.openxmlformats.org/officeDocument/2006/relationships/hyperlink" Target="https://dalil.kg/document/677" TargetMode="External"/><Relationship Id="rIdmiu3egj-fyqoof0ddrt2e" Type="http://schemas.openxmlformats.org/officeDocument/2006/relationships/hyperlink" Target="https://dalil.kg/document/302787#g2" TargetMode="External"/><Relationship Id="rId3ugqujegpb0lo2q3ns-aq" Type="http://schemas.openxmlformats.org/officeDocument/2006/relationships/hyperlink" Target="https://dalil.kg/document/302787#g2" TargetMode="External"/><Relationship Id="rIdtiybdksxb3zy4manrweva" Type="http://schemas.openxmlformats.org/officeDocument/2006/relationships/hyperlink" Target="https://dalil.kg/document/302787" TargetMode="External"/><Relationship Id="rId0us0pgbtmzfbhodpmpeft" Type="http://schemas.openxmlformats.org/officeDocument/2006/relationships/hyperlink" Target="https://dalil.kg/document/302787" TargetMode="External"/><Relationship Id="rIdersptx7eq2pfrv1b8-rm5" Type="http://schemas.openxmlformats.org/officeDocument/2006/relationships/hyperlink" Target="https://dalil.kg/document/302787" TargetMode="External"/><Relationship Id="rIdtjsqrcnjutwtasnqtfekk" Type="http://schemas.openxmlformats.org/officeDocument/2006/relationships/hyperlink" Target="https://dalil.kg/document/302787" TargetMode="External"/><Relationship Id="rIdry_8kpa2fitmmm85oy7rf" Type="http://schemas.openxmlformats.org/officeDocument/2006/relationships/hyperlink" Target="https://dalil.kg/document/302787#pr1" TargetMode="External"/><Relationship Id="rIdh9kjelq5jmfxlo8f9tuk4" Type="http://schemas.openxmlformats.org/officeDocument/2006/relationships/hyperlink" Target="https://dalil.kg/document/302787#pr2" TargetMode="External"/><Relationship Id="rIdlyazsthexl7uduwmm9ab7" Type="http://schemas.openxmlformats.org/officeDocument/2006/relationships/hyperlink" Target="https://dalil.kg/document/302787#pr5" TargetMode="External"/><Relationship Id="rIdh7pir0df_zy-nwmj6uiwu" Type="http://schemas.openxmlformats.org/officeDocument/2006/relationships/hyperlink" Target="https://dalil.kg/document/302787#pr6" TargetMode="External"/><Relationship Id="rIdgsao5dy7oy3xkftotjovq" Type="http://schemas.openxmlformats.org/officeDocument/2006/relationships/hyperlink" Target="https://dalil.kg/document/302787#pr6"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bqdaypn-rzdlxcm237o" Type="http://schemas.openxmlformats.org/officeDocument/2006/relationships/hyperlink" Target="https://dalil.kg/document/800768" TargetMode="External"/><Relationship Id="rIdzvtfcnosgz6pmasvpin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2026-09-24T22:38:59.974Z</dcterms:created>
  <dcterms:modified xsi:type="dcterms:W3CDTF">2026-09-24T22:38:59.974Z</dcterms:modified>
</cp:coreProperties>
</file>

<file path=docProps/custom.xml><?xml version="1.0" encoding="utf-8"?>
<Properties xmlns="http://schemas.openxmlformats.org/officeDocument/2006/custom-properties" xmlns:vt="http://schemas.openxmlformats.org/officeDocument/2006/docPropsVTypes"/>
</file>